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43" w:rsidRDefault="00C90243" w:rsidP="00C90243">
      <w:pPr>
        <w:spacing w:line="276" w:lineRule="auto"/>
        <w:ind w:firstLine="709"/>
        <w:jc w:val="center"/>
        <w:rPr>
          <w:rFonts w:eastAsia="Calibri"/>
          <w:b/>
          <w:sz w:val="36"/>
          <w:szCs w:val="36"/>
          <w:lang w:val="uk-UA"/>
        </w:rPr>
      </w:pPr>
      <w:r w:rsidRPr="00C90243">
        <w:rPr>
          <w:rFonts w:eastAsia="Calibri"/>
          <w:b/>
          <w:sz w:val="36"/>
          <w:szCs w:val="36"/>
          <w:lang w:val="uk-UA"/>
        </w:rPr>
        <w:t>Огляд даних судової статистики</w:t>
      </w:r>
    </w:p>
    <w:p w:rsidR="00C90243" w:rsidRPr="00C90243" w:rsidRDefault="00C90243" w:rsidP="00C90243">
      <w:pPr>
        <w:spacing w:line="276" w:lineRule="auto"/>
        <w:ind w:firstLine="709"/>
        <w:jc w:val="center"/>
        <w:rPr>
          <w:rFonts w:eastAsia="Calibri"/>
          <w:b/>
          <w:sz w:val="36"/>
          <w:szCs w:val="36"/>
          <w:lang w:val="uk-UA"/>
        </w:rPr>
      </w:pPr>
      <w:r w:rsidRPr="00C90243">
        <w:rPr>
          <w:rFonts w:eastAsia="Calibri"/>
          <w:b/>
          <w:sz w:val="36"/>
          <w:szCs w:val="36"/>
          <w:lang w:val="uk-UA"/>
        </w:rPr>
        <w:t>про стан здійснення правосуддя</w:t>
      </w:r>
    </w:p>
    <w:p w:rsidR="00C90243" w:rsidRDefault="00C90243" w:rsidP="00C90243">
      <w:pPr>
        <w:spacing w:line="276" w:lineRule="auto"/>
        <w:ind w:firstLine="709"/>
        <w:rPr>
          <w:rFonts w:eastAsia="Calibri"/>
          <w:b/>
          <w:sz w:val="28"/>
          <w:szCs w:val="28"/>
          <w:lang w:val="uk-UA"/>
        </w:rPr>
      </w:pPr>
    </w:p>
    <w:p w:rsidR="00952285" w:rsidRPr="00932F66" w:rsidRDefault="00952285" w:rsidP="00C90243">
      <w:pPr>
        <w:spacing w:line="276" w:lineRule="auto"/>
        <w:ind w:firstLine="709"/>
        <w:rPr>
          <w:rFonts w:eastAsia="Calibri"/>
          <w:b/>
          <w:sz w:val="28"/>
          <w:szCs w:val="28"/>
          <w:lang w:val="uk-UA"/>
        </w:rPr>
      </w:pPr>
      <w:r w:rsidRPr="00932F66">
        <w:rPr>
          <w:rFonts w:eastAsia="Calibri"/>
          <w:b/>
          <w:sz w:val="28"/>
          <w:szCs w:val="28"/>
          <w:lang w:val="uk-UA"/>
        </w:rPr>
        <w:t>Вступ</w:t>
      </w:r>
    </w:p>
    <w:p w:rsidR="00A57442" w:rsidRPr="00932F66" w:rsidRDefault="00952285" w:rsidP="00C90243">
      <w:pPr>
        <w:spacing w:line="276" w:lineRule="auto"/>
        <w:ind w:firstLine="709"/>
        <w:jc w:val="both"/>
        <w:rPr>
          <w:rFonts w:eastAsia="Calibri"/>
          <w:b/>
          <w:sz w:val="28"/>
          <w:szCs w:val="28"/>
          <w:lang w:val="uk-UA"/>
        </w:rPr>
      </w:pPr>
      <w:r w:rsidRPr="00932F66">
        <w:rPr>
          <w:b/>
          <w:bCs/>
          <w:sz w:val="28"/>
          <w:szCs w:val="28"/>
          <w:lang w:val="uk-UA"/>
        </w:rPr>
        <w:t>П</w:t>
      </w:r>
      <w:r w:rsidR="00A57442" w:rsidRPr="00932F66">
        <w:rPr>
          <w:b/>
          <w:bCs/>
          <w:sz w:val="28"/>
          <w:szCs w:val="28"/>
          <w:lang w:val="uk-UA"/>
        </w:rPr>
        <w:t xml:space="preserve">ідставами даного огляду є </w:t>
      </w:r>
      <w:r w:rsidR="00A57442" w:rsidRPr="00932F66">
        <w:rPr>
          <w:sz w:val="28"/>
          <w:szCs w:val="28"/>
          <w:lang w:val="uk-UA"/>
        </w:rPr>
        <w:t xml:space="preserve">вимоги п.3 ч.1 ст.27 Закону України «Про судоустрій і статус суддів», яким до повноважень апеляційних судів віднесені аналіз судової статистики, вивчення і узагальнення судової практики. На виконання вимог пункту 2.4 Плану роботи Львівського апеляційного адміністративного суду </w:t>
      </w:r>
      <w:r w:rsidR="00A57442" w:rsidRPr="00EA4012">
        <w:rPr>
          <w:sz w:val="28"/>
          <w:szCs w:val="28"/>
          <w:lang w:val="uk-UA"/>
        </w:rPr>
        <w:t>на перше півріччя 201</w:t>
      </w:r>
      <w:r w:rsidR="00EA4012" w:rsidRPr="00EA4012">
        <w:rPr>
          <w:sz w:val="28"/>
          <w:szCs w:val="28"/>
          <w:lang w:val="uk-UA"/>
        </w:rPr>
        <w:t>9</w:t>
      </w:r>
      <w:r w:rsidR="00A57442" w:rsidRPr="00932F66">
        <w:rPr>
          <w:sz w:val="28"/>
          <w:szCs w:val="28"/>
          <w:lang w:val="uk-UA"/>
        </w:rPr>
        <w:t xml:space="preserve"> року </w:t>
      </w:r>
      <w:r w:rsidR="00D32167">
        <w:rPr>
          <w:sz w:val="28"/>
          <w:szCs w:val="28"/>
          <w:lang w:val="uk-UA"/>
        </w:rPr>
        <w:t xml:space="preserve">член ліквідаційної комісії суду, </w:t>
      </w:r>
      <w:r w:rsidR="00A57442" w:rsidRPr="00932F66">
        <w:rPr>
          <w:sz w:val="28"/>
          <w:szCs w:val="28"/>
          <w:lang w:val="uk-UA"/>
        </w:rPr>
        <w:t>начальник відділу реєстрації та документального забезпечення – канцелярії Стельмах К.В. підготувала огляд стану здійснення адміністративного судочинства упродовж 2018 року.</w:t>
      </w:r>
    </w:p>
    <w:p w:rsidR="00A57442" w:rsidRPr="00932F66" w:rsidRDefault="00A57442" w:rsidP="000254CE">
      <w:pPr>
        <w:pStyle w:val="ac"/>
        <w:spacing w:before="0" w:beforeAutospacing="0" w:after="0" w:afterAutospacing="0" w:line="276" w:lineRule="auto"/>
        <w:ind w:firstLine="709"/>
        <w:jc w:val="both"/>
        <w:rPr>
          <w:b/>
          <w:bCs/>
          <w:sz w:val="28"/>
          <w:szCs w:val="28"/>
          <w:lang w:val="uk-UA"/>
        </w:rPr>
      </w:pPr>
      <w:r w:rsidRPr="00932F66">
        <w:rPr>
          <w:sz w:val="28"/>
          <w:szCs w:val="28"/>
          <w:lang w:val="uk-UA"/>
        </w:rPr>
        <w:t xml:space="preserve">Огляд даних здійснено </w:t>
      </w:r>
      <w:r w:rsidRPr="00932F66">
        <w:rPr>
          <w:b/>
          <w:sz w:val="28"/>
          <w:szCs w:val="28"/>
          <w:lang w:val="uk-UA"/>
        </w:rPr>
        <w:t>з урахуванням</w:t>
      </w:r>
      <w:r w:rsidRPr="00932F66">
        <w:rPr>
          <w:sz w:val="28"/>
          <w:szCs w:val="28"/>
          <w:lang w:val="uk-UA"/>
        </w:rPr>
        <w:t xml:space="preserve"> Методичних рекомендацій щодо проведення аналітичних досліджень з питань судової статистики окружними та апеляційними адміністративними судами, розроблених Управлінням організації роботи з ведення судової статистики, діловодства та архіву судів Державної судової адміністрації України, Методичних рекомендацій «Аналіз судової статистики».</w:t>
      </w:r>
    </w:p>
    <w:p w:rsidR="00A57442" w:rsidRPr="00932F66" w:rsidRDefault="00A57442" w:rsidP="00C90243">
      <w:pPr>
        <w:spacing w:line="276" w:lineRule="auto"/>
        <w:ind w:firstLine="709"/>
        <w:jc w:val="both"/>
        <w:rPr>
          <w:bCs/>
          <w:sz w:val="28"/>
          <w:szCs w:val="28"/>
          <w:lang w:val="uk-UA"/>
        </w:rPr>
      </w:pPr>
      <w:r w:rsidRPr="00932F66">
        <w:rPr>
          <w:bCs/>
          <w:sz w:val="28"/>
          <w:szCs w:val="28"/>
          <w:lang w:val="uk-UA"/>
        </w:rPr>
        <w:t xml:space="preserve">Огляд даних проведено </w:t>
      </w:r>
      <w:r w:rsidRPr="00932F66">
        <w:rPr>
          <w:b/>
          <w:bCs/>
          <w:sz w:val="28"/>
          <w:szCs w:val="28"/>
          <w:lang w:val="uk-UA"/>
        </w:rPr>
        <w:t>з метою</w:t>
      </w:r>
      <w:r w:rsidRPr="00932F66">
        <w:rPr>
          <w:bCs/>
          <w:sz w:val="28"/>
          <w:szCs w:val="28"/>
          <w:lang w:val="uk-UA"/>
        </w:rPr>
        <w:t xml:space="preserve"> вивчення стану роботи Львівського апеляційного адміністративного суду по здійсненню судочинства упродовж  </w:t>
      </w:r>
      <w:r w:rsidRPr="00EA4012">
        <w:rPr>
          <w:bCs/>
          <w:sz w:val="28"/>
          <w:szCs w:val="28"/>
          <w:lang w:val="uk-UA"/>
        </w:rPr>
        <w:t>201</w:t>
      </w:r>
      <w:r w:rsidR="00EA4012" w:rsidRPr="00EA4012">
        <w:rPr>
          <w:bCs/>
          <w:sz w:val="28"/>
          <w:szCs w:val="28"/>
          <w:lang w:val="uk-UA"/>
        </w:rPr>
        <w:t>8</w:t>
      </w:r>
      <w:r w:rsidRPr="00EA4012">
        <w:rPr>
          <w:bCs/>
          <w:sz w:val="28"/>
          <w:szCs w:val="28"/>
          <w:lang w:val="uk-UA"/>
        </w:rPr>
        <w:t xml:space="preserve"> року</w:t>
      </w:r>
      <w:r w:rsidRPr="00932F66">
        <w:rPr>
          <w:bCs/>
          <w:sz w:val="28"/>
          <w:szCs w:val="28"/>
          <w:lang w:val="uk-UA"/>
        </w:rPr>
        <w:t xml:space="preserve"> шляхом </w:t>
      </w:r>
      <w:r w:rsidRPr="00932F66">
        <w:rPr>
          <w:sz w:val="28"/>
          <w:szCs w:val="28"/>
          <w:lang w:val="uk-UA"/>
        </w:rPr>
        <w:t>аналізу кількісних характеристик його діяльності для оцінки ефективності роботи.</w:t>
      </w:r>
    </w:p>
    <w:p w:rsidR="00A57442" w:rsidRPr="00932F66" w:rsidRDefault="00A57442" w:rsidP="000254CE">
      <w:pPr>
        <w:pStyle w:val="ac"/>
        <w:spacing w:before="0" w:beforeAutospacing="0" w:after="0" w:afterAutospacing="0" w:line="276" w:lineRule="auto"/>
        <w:ind w:firstLine="709"/>
        <w:jc w:val="both"/>
        <w:rPr>
          <w:sz w:val="28"/>
          <w:szCs w:val="28"/>
          <w:lang w:val="uk-UA"/>
        </w:rPr>
      </w:pPr>
      <w:r w:rsidRPr="00932F66">
        <w:rPr>
          <w:sz w:val="28"/>
          <w:szCs w:val="28"/>
          <w:lang w:val="uk-UA"/>
        </w:rPr>
        <w:t xml:space="preserve">Огляд даних здійснено </w:t>
      </w:r>
      <w:r w:rsidRPr="00932F66">
        <w:rPr>
          <w:b/>
          <w:sz w:val="28"/>
          <w:szCs w:val="28"/>
          <w:lang w:val="uk-UA"/>
        </w:rPr>
        <w:t>на підставі</w:t>
      </w:r>
      <w:r w:rsidRPr="00932F66">
        <w:rPr>
          <w:sz w:val="28"/>
          <w:szCs w:val="28"/>
          <w:lang w:val="uk-UA"/>
        </w:rPr>
        <w:t xml:space="preserve"> офіційних статистичних даних звіту Львівського апеляційного адміністративного суду про розгляд апеляційних скарг у адміністративних справах за 2018 рік форми № 1-а, форми № 2-а, форми яких затверджені наказом Державної судової адміністрації України від 23.06.2018 № 325, статистичних даних за 2018 рік звіту форми № 2 аас, форма якого затверджена наказом Державної судової адміністрації України від 09.03.2017 № 311, статистичних даних звіту Львівського апеляційного адміністративного суду про справляння, звільнення від сплати та повернення судового збору за 2018 рік, рік форми № 10, форма якого затверджена наказом Державної судової адміністрації України від 21.12.2012 № 172 та у редакції наказу Державної судової адміністрації України від 07.08.2015 № 126, а також даних комп’ютерної програми «Діловодство спеціалізованого суду», статистичних даних звітів окружних адміністративних судів Львівського апеляційного адміністративного округу про розгляд справ у порядку адміністративного судочинства за 2018 рік форми № 1-а.</w:t>
      </w:r>
    </w:p>
    <w:p w:rsidR="00A57442" w:rsidRDefault="00A57442" w:rsidP="000254CE">
      <w:pPr>
        <w:pStyle w:val="ac"/>
        <w:spacing w:before="0" w:beforeAutospacing="0" w:after="0" w:afterAutospacing="0" w:line="276" w:lineRule="auto"/>
        <w:ind w:firstLine="709"/>
        <w:jc w:val="both"/>
        <w:rPr>
          <w:sz w:val="28"/>
          <w:szCs w:val="28"/>
          <w:lang w:val="uk-UA"/>
        </w:rPr>
      </w:pPr>
      <w:r w:rsidRPr="00932F66">
        <w:rPr>
          <w:sz w:val="28"/>
          <w:szCs w:val="28"/>
          <w:lang w:val="uk-UA"/>
        </w:rPr>
        <w:lastRenderedPageBreak/>
        <w:t xml:space="preserve">Указом Президента України від 29 грудня 2017 року № 455/2017 «Про ліквідацію апеляційних адміністративних судів та утворення апеляційних адміністративних судів в апеляційних округах» постановлено ліквідувати </w:t>
      </w:r>
      <w:r w:rsidRPr="00932F66">
        <w:rPr>
          <w:sz w:val="28"/>
          <w:szCs w:val="28"/>
          <w:shd w:val="clear" w:color="auto" w:fill="FFFFFF"/>
          <w:lang w:val="uk-UA"/>
        </w:rPr>
        <w:t>Львівський апеляційний адміністративний суд</w:t>
      </w:r>
      <w:r w:rsidR="007816B0" w:rsidRPr="00932F66">
        <w:rPr>
          <w:sz w:val="28"/>
          <w:szCs w:val="28"/>
          <w:shd w:val="clear" w:color="auto" w:fill="FFFFFF"/>
          <w:lang w:val="uk-UA"/>
        </w:rPr>
        <w:t xml:space="preserve"> (далі </w:t>
      </w:r>
      <w:r w:rsidR="00EA4012">
        <w:rPr>
          <w:sz w:val="28"/>
          <w:szCs w:val="28"/>
          <w:shd w:val="clear" w:color="auto" w:fill="FFFFFF"/>
          <w:lang w:val="uk-UA"/>
        </w:rPr>
        <w:t xml:space="preserve">- </w:t>
      </w:r>
      <w:r w:rsidR="007816B0" w:rsidRPr="00932F66">
        <w:rPr>
          <w:sz w:val="28"/>
          <w:szCs w:val="28"/>
          <w:shd w:val="clear" w:color="auto" w:fill="FFFFFF"/>
          <w:lang w:val="uk-UA"/>
        </w:rPr>
        <w:t>ЛААС)</w:t>
      </w:r>
      <w:r w:rsidRPr="00932F66">
        <w:rPr>
          <w:sz w:val="28"/>
          <w:szCs w:val="28"/>
          <w:lang w:val="uk-UA"/>
        </w:rPr>
        <w:t xml:space="preserve">, який </w:t>
      </w:r>
      <w:r w:rsidRPr="00932F66">
        <w:rPr>
          <w:sz w:val="28"/>
          <w:szCs w:val="28"/>
          <w:shd w:val="clear" w:color="auto" w:fill="FFFFFF"/>
          <w:lang w:val="uk-UA"/>
        </w:rPr>
        <w:t>здійснював правосуддя до початку роботи </w:t>
      </w:r>
      <w:hyperlink r:id="rId8" w:tooltip="Восьмий апеляційний адміністративний суд" w:history="1">
        <w:r w:rsidRPr="00932F66">
          <w:rPr>
            <w:rStyle w:val="aff4"/>
            <w:color w:val="auto"/>
            <w:sz w:val="28"/>
            <w:szCs w:val="28"/>
            <w:shd w:val="clear" w:color="auto" w:fill="FFFFFF"/>
            <w:lang w:val="uk-UA"/>
          </w:rPr>
          <w:t>Восьмого апеляційного адміністративного суду</w:t>
        </w:r>
      </w:hyperlink>
      <w:r w:rsidRPr="00932F66">
        <w:rPr>
          <w:sz w:val="28"/>
          <w:szCs w:val="28"/>
          <w:shd w:val="clear" w:color="auto" w:fill="FFFFFF"/>
          <w:lang w:val="uk-UA"/>
        </w:rPr>
        <w:t xml:space="preserve">, </w:t>
      </w:r>
      <w:r w:rsidR="00EA4012">
        <w:rPr>
          <w:sz w:val="28"/>
          <w:szCs w:val="28"/>
          <w:shd w:val="clear" w:color="auto" w:fill="FFFFFF"/>
          <w:lang w:val="uk-UA"/>
        </w:rPr>
        <w:t xml:space="preserve">а саме </w:t>
      </w:r>
      <w:r w:rsidR="00D32167">
        <w:rPr>
          <w:sz w:val="28"/>
          <w:szCs w:val="28"/>
          <w:shd w:val="clear" w:color="auto" w:fill="FFFFFF"/>
          <w:lang w:val="uk-UA"/>
        </w:rPr>
        <w:t>до</w:t>
      </w:r>
      <w:r w:rsidRPr="00932F66">
        <w:rPr>
          <w:sz w:val="28"/>
          <w:szCs w:val="28"/>
          <w:shd w:val="clear" w:color="auto" w:fill="FFFFFF"/>
          <w:lang w:val="uk-UA"/>
        </w:rPr>
        <w:t xml:space="preserve"> 3 жовтня 2018 року. Відповідно </w:t>
      </w:r>
      <w:r w:rsidRPr="00EA4012">
        <w:rPr>
          <w:sz w:val="28"/>
          <w:szCs w:val="28"/>
          <w:shd w:val="clear" w:color="auto" w:fill="FFFFFF"/>
          <w:lang w:val="uk-UA"/>
        </w:rPr>
        <w:t>порівняння показників з 2017 роком провести неможливо,</w:t>
      </w:r>
      <w:r w:rsidRPr="00932F66">
        <w:rPr>
          <w:sz w:val="28"/>
          <w:szCs w:val="28"/>
          <w:shd w:val="clear" w:color="auto" w:fill="FFFFFF"/>
          <w:lang w:val="uk-UA"/>
        </w:rPr>
        <w:t xml:space="preserve"> так як а</w:t>
      </w:r>
      <w:r w:rsidRPr="00932F66">
        <w:rPr>
          <w:sz w:val="28"/>
          <w:szCs w:val="28"/>
          <w:lang w:val="uk-UA"/>
        </w:rPr>
        <w:t xml:space="preserve">наліз загальних показників здійснення судочинства досліджено за час </w:t>
      </w:r>
      <w:r w:rsidR="003E79F8" w:rsidRPr="00932F66">
        <w:rPr>
          <w:sz w:val="28"/>
          <w:szCs w:val="28"/>
          <w:lang w:val="uk-UA"/>
        </w:rPr>
        <w:t>фактичного звітн</w:t>
      </w:r>
      <w:r w:rsidRPr="00932F66">
        <w:rPr>
          <w:sz w:val="28"/>
          <w:szCs w:val="28"/>
          <w:lang w:val="uk-UA"/>
        </w:rPr>
        <w:t xml:space="preserve">ого періоду з </w:t>
      </w:r>
      <w:r w:rsidRPr="00932F66">
        <w:rPr>
          <w:sz w:val="28"/>
          <w:szCs w:val="28"/>
          <w:shd w:val="clear" w:color="auto" w:fill="FFFFFF"/>
          <w:lang w:val="uk-UA"/>
        </w:rPr>
        <w:t>01 січня по 02 жовтня 2018 року, тобто</w:t>
      </w:r>
      <w:r w:rsidR="00EA4012">
        <w:rPr>
          <w:sz w:val="28"/>
          <w:szCs w:val="28"/>
          <w:lang w:val="uk-UA"/>
        </w:rPr>
        <w:t xml:space="preserve">фактичного </w:t>
      </w:r>
      <w:r w:rsidRPr="00932F66">
        <w:rPr>
          <w:sz w:val="28"/>
          <w:szCs w:val="28"/>
          <w:lang w:val="uk-UA"/>
        </w:rPr>
        <w:t xml:space="preserve">періоду діяльності </w:t>
      </w:r>
      <w:r w:rsidR="00EA4012">
        <w:rPr>
          <w:sz w:val="28"/>
          <w:szCs w:val="28"/>
          <w:lang w:val="uk-UA"/>
        </w:rPr>
        <w:t xml:space="preserve">щодо здійснення правосуддя </w:t>
      </w:r>
      <w:r w:rsidRPr="00932F66">
        <w:rPr>
          <w:sz w:val="28"/>
          <w:szCs w:val="28"/>
          <w:lang w:val="uk-UA"/>
        </w:rPr>
        <w:t>Львівськ</w:t>
      </w:r>
      <w:r w:rsidR="00EA4012">
        <w:rPr>
          <w:sz w:val="28"/>
          <w:szCs w:val="28"/>
          <w:lang w:val="uk-UA"/>
        </w:rPr>
        <w:t>им</w:t>
      </w:r>
      <w:r w:rsidRPr="00932F66">
        <w:rPr>
          <w:sz w:val="28"/>
          <w:szCs w:val="28"/>
          <w:lang w:val="uk-UA"/>
        </w:rPr>
        <w:t xml:space="preserve"> апеляційн</w:t>
      </w:r>
      <w:r w:rsidR="00EA4012">
        <w:rPr>
          <w:sz w:val="28"/>
          <w:szCs w:val="28"/>
          <w:lang w:val="uk-UA"/>
        </w:rPr>
        <w:t>им</w:t>
      </w:r>
      <w:r w:rsidRPr="00932F66">
        <w:rPr>
          <w:sz w:val="28"/>
          <w:szCs w:val="28"/>
          <w:lang w:val="uk-UA"/>
        </w:rPr>
        <w:t xml:space="preserve"> адміністративн</w:t>
      </w:r>
      <w:r w:rsidR="00EA4012">
        <w:rPr>
          <w:sz w:val="28"/>
          <w:szCs w:val="28"/>
          <w:lang w:val="uk-UA"/>
        </w:rPr>
        <w:t>им</w:t>
      </w:r>
      <w:r w:rsidRPr="00932F66">
        <w:rPr>
          <w:sz w:val="28"/>
          <w:szCs w:val="28"/>
          <w:lang w:val="uk-UA"/>
        </w:rPr>
        <w:t xml:space="preserve"> суд</w:t>
      </w:r>
      <w:r w:rsidR="00EA4012">
        <w:rPr>
          <w:sz w:val="28"/>
          <w:szCs w:val="28"/>
          <w:lang w:val="uk-UA"/>
        </w:rPr>
        <w:t>ом</w:t>
      </w:r>
      <w:r w:rsidRPr="00932F66">
        <w:rPr>
          <w:sz w:val="28"/>
          <w:szCs w:val="28"/>
          <w:lang w:val="uk-UA"/>
        </w:rPr>
        <w:t>.</w:t>
      </w:r>
    </w:p>
    <w:p w:rsidR="00C90243" w:rsidRPr="00932F66" w:rsidRDefault="00C90243" w:rsidP="000254CE">
      <w:pPr>
        <w:pStyle w:val="ac"/>
        <w:spacing w:before="0" w:beforeAutospacing="0" w:after="0" w:afterAutospacing="0" w:line="276" w:lineRule="auto"/>
        <w:ind w:firstLine="709"/>
        <w:jc w:val="both"/>
        <w:rPr>
          <w:sz w:val="28"/>
          <w:szCs w:val="28"/>
          <w:lang w:val="uk-UA"/>
        </w:rPr>
      </w:pPr>
    </w:p>
    <w:p w:rsidR="00A57442" w:rsidRPr="00932F66" w:rsidRDefault="00A57442" w:rsidP="00EE79A1">
      <w:pPr>
        <w:pStyle w:val="aa"/>
        <w:numPr>
          <w:ilvl w:val="0"/>
          <w:numId w:val="2"/>
        </w:numPr>
        <w:spacing w:line="276" w:lineRule="auto"/>
        <w:ind w:left="0" w:firstLine="709"/>
      </w:pPr>
      <w:r w:rsidRPr="00932F66">
        <w:t>Загальні показники стану здійснення судочинства.</w:t>
      </w:r>
    </w:p>
    <w:p w:rsidR="00A57442" w:rsidRPr="00932F66" w:rsidRDefault="00A57442" w:rsidP="00C90243">
      <w:pPr>
        <w:pStyle w:val="aa"/>
        <w:spacing w:line="276" w:lineRule="auto"/>
        <w:ind w:firstLine="709"/>
        <w:jc w:val="right"/>
      </w:pPr>
      <w:r w:rsidRPr="00932F66">
        <w:t>Таблиця 1</w:t>
      </w:r>
    </w:p>
    <w:p w:rsidR="00A57442" w:rsidRPr="00932F66" w:rsidRDefault="00A57442" w:rsidP="00C90243">
      <w:pPr>
        <w:pStyle w:val="aa"/>
        <w:spacing w:line="276" w:lineRule="auto"/>
        <w:ind w:firstLine="709"/>
      </w:pPr>
      <w:r w:rsidRPr="00932F66">
        <w:t xml:space="preserve">Показники надходження справ та матеріалів </w:t>
      </w:r>
    </w:p>
    <w:p w:rsidR="00A57442" w:rsidRPr="00932F66" w:rsidRDefault="00A57442" w:rsidP="00C90243">
      <w:pPr>
        <w:pStyle w:val="aa"/>
        <w:spacing w:line="276" w:lineRule="auto"/>
        <w:ind w:firstLine="709"/>
      </w:pPr>
      <w:r w:rsidRPr="00932F66">
        <w:t>до Львівського апеляційного адміністративного суду</w:t>
      </w:r>
    </w:p>
    <w:p w:rsidR="00A57442" w:rsidRPr="00932F66" w:rsidRDefault="00A57442" w:rsidP="00C90243">
      <w:pPr>
        <w:pStyle w:val="aa"/>
        <w:spacing w:line="276" w:lineRule="auto"/>
        <w:ind w:firstLine="709"/>
      </w:pPr>
      <w:r w:rsidRPr="00932F66">
        <w:t>упродовж 2007-2017 років</w:t>
      </w:r>
    </w:p>
    <w:p w:rsidR="008A40FE" w:rsidRPr="00932F66" w:rsidRDefault="008A40FE" w:rsidP="00C90243">
      <w:pPr>
        <w:pStyle w:val="aa"/>
        <w:spacing w:line="276" w:lineRule="auto"/>
        <w:ind w:firstLine="709"/>
        <w:rPr>
          <w:b w:val="0"/>
        </w:rPr>
      </w:pPr>
    </w:p>
    <w:tbl>
      <w:tblPr>
        <w:tblW w:w="10206" w:type="dxa"/>
        <w:tblInd w:w="108" w:type="dxa"/>
        <w:tblLayout w:type="fixed"/>
        <w:tblLook w:val="04A0"/>
      </w:tblPr>
      <w:tblGrid>
        <w:gridCol w:w="1276"/>
        <w:gridCol w:w="1276"/>
        <w:gridCol w:w="1276"/>
        <w:gridCol w:w="1576"/>
        <w:gridCol w:w="1400"/>
        <w:gridCol w:w="1335"/>
        <w:gridCol w:w="1075"/>
        <w:gridCol w:w="992"/>
      </w:tblGrid>
      <w:tr w:rsidR="00A57442" w:rsidRPr="00932F66" w:rsidTr="00D32167">
        <w:trPr>
          <w:trHeight w:val="1695"/>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right="34" w:firstLine="34"/>
              <w:jc w:val="center"/>
              <w:rPr>
                <w:lang w:val="uk-UA"/>
              </w:rPr>
            </w:pPr>
            <w:r w:rsidRPr="00932F66">
              <w:rPr>
                <w:sz w:val="22"/>
                <w:szCs w:val="22"/>
                <w:lang w:val="uk-UA"/>
              </w:rPr>
              <w:t>Період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left="-110" w:right="-107"/>
              <w:jc w:val="center"/>
              <w:rPr>
                <w:lang w:val="uk-UA"/>
              </w:rPr>
            </w:pPr>
            <w:r w:rsidRPr="00932F66">
              <w:rPr>
                <w:sz w:val="22"/>
                <w:szCs w:val="22"/>
                <w:lang w:val="uk-UA"/>
              </w:rPr>
              <w:t>Надійшло апеляційних скарг</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right="34" w:firstLine="34"/>
              <w:jc w:val="center"/>
              <w:rPr>
                <w:lang w:val="uk-UA"/>
              </w:rPr>
            </w:pPr>
            <w:r w:rsidRPr="00932F66">
              <w:rPr>
                <w:sz w:val="22"/>
                <w:szCs w:val="22"/>
                <w:lang w:val="uk-UA"/>
              </w:rPr>
              <w:t>Надійшло позовних справ та матеріалів</w:t>
            </w:r>
          </w:p>
        </w:tc>
        <w:tc>
          <w:tcPr>
            <w:tcW w:w="15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right="34" w:firstLine="34"/>
              <w:jc w:val="center"/>
              <w:rPr>
                <w:lang w:val="uk-UA"/>
              </w:rPr>
            </w:pPr>
            <w:r w:rsidRPr="00932F66">
              <w:rPr>
                <w:sz w:val="22"/>
                <w:szCs w:val="22"/>
                <w:lang w:val="uk-UA"/>
              </w:rPr>
              <w:t>Надійшло заяв про перегляд судового рішення за ново- виявленими обставинами</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left="-129" w:right="-107" w:firstLine="34"/>
              <w:jc w:val="center"/>
              <w:rPr>
                <w:lang w:val="uk-UA"/>
              </w:rPr>
            </w:pPr>
            <w:r w:rsidRPr="00932F66">
              <w:rPr>
                <w:sz w:val="22"/>
                <w:szCs w:val="22"/>
                <w:lang w:val="uk-UA"/>
              </w:rPr>
              <w:t>Відновлення втраченого провадження</w:t>
            </w:r>
          </w:p>
        </w:tc>
        <w:tc>
          <w:tcPr>
            <w:tcW w:w="133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right="34" w:firstLine="34"/>
              <w:jc w:val="center"/>
              <w:rPr>
                <w:lang w:val="uk-UA"/>
              </w:rPr>
            </w:pPr>
            <w:r w:rsidRPr="00932F66">
              <w:rPr>
                <w:sz w:val="22"/>
                <w:szCs w:val="22"/>
                <w:lang w:val="uk-UA"/>
              </w:rPr>
              <w:t>ВСЬОГО надійшло справ та матеріалів</w:t>
            </w:r>
          </w:p>
        </w:tc>
        <w:tc>
          <w:tcPr>
            <w:tcW w:w="2067" w:type="dxa"/>
            <w:gridSpan w:val="2"/>
            <w:tcBorders>
              <w:top w:val="single" w:sz="8" w:space="0" w:color="auto"/>
              <w:left w:val="nil"/>
              <w:bottom w:val="single" w:sz="8" w:space="0" w:color="auto"/>
              <w:right w:val="single" w:sz="8" w:space="0" w:color="000000"/>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Динаміка надходження справ та матеріалів (по відношенню по попереднього рядка)</w:t>
            </w:r>
          </w:p>
        </w:tc>
      </w:tr>
      <w:tr w:rsidR="00A57442" w:rsidRPr="00932F66" w:rsidTr="00D32167">
        <w:trPr>
          <w:trHeight w:val="315"/>
        </w:trPr>
        <w:tc>
          <w:tcPr>
            <w:tcW w:w="1276"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right="34" w:firstLine="34"/>
              <w:rPr>
                <w:lang w:val="uk-U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right="34" w:firstLine="34"/>
              <w:rPr>
                <w:lang w:val="uk-U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right="34" w:firstLine="34"/>
              <w:rPr>
                <w:lang w:val="uk-UA"/>
              </w:rPr>
            </w:pPr>
          </w:p>
        </w:tc>
        <w:tc>
          <w:tcPr>
            <w:tcW w:w="1576"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right="34" w:firstLine="34"/>
              <w:rPr>
                <w:lang w:val="uk-UA"/>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right="34" w:firstLine="34"/>
              <w:rPr>
                <w:lang w:val="uk-UA"/>
              </w:rPr>
            </w:pPr>
          </w:p>
        </w:tc>
        <w:tc>
          <w:tcPr>
            <w:tcW w:w="1335"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right="34" w:firstLine="34"/>
              <w:rPr>
                <w:lang w:val="uk-UA"/>
              </w:rPr>
            </w:pPr>
          </w:p>
        </w:tc>
        <w:tc>
          <w:tcPr>
            <w:tcW w:w="1075"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абс.</w:t>
            </w:r>
          </w:p>
        </w:tc>
        <w:tc>
          <w:tcPr>
            <w:tcW w:w="992"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w:t>
            </w:r>
          </w:p>
        </w:tc>
      </w:tr>
      <w:tr w:rsidR="00A5744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А</w:t>
            </w:r>
          </w:p>
        </w:tc>
        <w:tc>
          <w:tcPr>
            <w:tcW w:w="1276"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1</w:t>
            </w:r>
          </w:p>
        </w:tc>
        <w:tc>
          <w:tcPr>
            <w:tcW w:w="1276"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2</w:t>
            </w:r>
          </w:p>
        </w:tc>
        <w:tc>
          <w:tcPr>
            <w:tcW w:w="1576"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3</w:t>
            </w:r>
          </w:p>
        </w:tc>
        <w:tc>
          <w:tcPr>
            <w:tcW w:w="1400"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4</w:t>
            </w:r>
          </w:p>
        </w:tc>
        <w:tc>
          <w:tcPr>
            <w:tcW w:w="1335"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5</w:t>
            </w:r>
          </w:p>
        </w:tc>
        <w:tc>
          <w:tcPr>
            <w:tcW w:w="1075"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6</w:t>
            </w:r>
          </w:p>
        </w:tc>
        <w:tc>
          <w:tcPr>
            <w:tcW w:w="992"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7</w:t>
            </w:r>
          </w:p>
        </w:tc>
      </w:tr>
      <w:tr w:rsidR="00A5744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2007 рік</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7 166</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5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22</w:t>
            </w:r>
          </w:p>
        </w:tc>
        <w:tc>
          <w:tcPr>
            <w:tcW w:w="140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33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7 188</w:t>
            </w:r>
          </w:p>
        </w:tc>
        <w:tc>
          <w:tcPr>
            <w:tcW w:w="107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9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r>
      <w:tr w:rsidR="00A5744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2008 рік</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15 938</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5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34</w:t>
            </w:r>
          </w:p>
        </w:tc>
        <w:tc>
          <w:tcPr>
            <w:tcW w:w="140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33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15 972</w:t>
            </w:r>
          </w:p>
        </w:tc>
        <w:tc>
          <w:tcPr>
            <w:tcW w:w="107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8 784</w:t>
            </w:r>
          </w:p>
        </w:tc>
        <w:tc>
          <w:tcPr>
            <w:tcW w:w="9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122,2%</w:t>
            </w:r>
          </w:p>
        </w:tc>
      </w:tr>
      <w:tr w:rsidR="00A5744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2009 рік</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93 548</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5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29</w:t>
            </w:r>
          </w:p>
        </w:tc>
        <w:tc>
          <w:tcPr>
            <w:tcW w:w="140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33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93 577</w:t>
            </w:r>
          </w:p>
        </w:tc>
        <w:tc>
          <w:tcPr>
            <w:tcW w:w="107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77 605</w:t>
            </w:r>
          </w:p>
        </w:tc>
        <w:tc>
          <w:tcPr>
            <w:tcW w:w="9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485,9%</w:t>
            </w:r>
          </w:p>
        </w:tc>
      </w:tr>
      <w:tr w:rsidR="00A5744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2010 рік</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37 967</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13</w:t>
            </w:r>
          </w:p>
        </w:tc>
        <w:tc>
          <w:tcPr>
            <w:tcW w:w="15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48</w:t>
            </w:r>
          </w:p>
        </w:tc>
        <w:tc>
          <w:tcPr>
            <w:tcW w:w="140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33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38 028</w:t>
            </w:r>
          </w:p>
        </w:tc>
        <w:tc>
          <w:tcPr>
            <w:tcW w:w="107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-55 549</w:t>
            </w:r>
          </w:p>
        </w:tc>
        <w:tc>
          <w:tcPr>
            <w:tcW w:w="9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-59,4%</w:t>
            </w:r>
          </w:p>
        </w:tc>
      </w:tr>
      <w:tr w:rsidR="00A5744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2011 рік</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152 654</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6</w:t>
            </w:r>
          </w:p>
        </w:tc>
        <w:tc>
          <w:tcPr>
            <w:tcW w:w="15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49</w:t>
            </w:r>
          </w:p>
        </w:tc>
        <w:tc>
          <w:tcPr>
            <w:tcW w:w="140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33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152 709</w:t>
            </w:r>
          </w:p>
        </w:tc>
        <w:tc>
          <w:tcPr>
            <w:tcW w:w="107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114 681</w:t>
            </w:r>
          </w:p>
        </w:tc>
        <w:tc>
          <w:tcPr>
            <w:tcW w:w="9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301,6%</w:t>
            </w:r>
          </w:p>
        </w:tc>
      </w:tr>
      <w:tr w:rsidR="00A5744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2012 рік</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183 641</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7</w:t>
            </w:r>
          </w:p>
        </w:tc>
        <w:tc>
          <w:tcPr>
            <w:tcW w:w="15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117</w:t>
            </w:r>
          </w:p>
        </w:tc>
        <w:tc>
          <w:tcPr>
            <w:tcW w:w="140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33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183 765</w:t>
            </w:r>
          </w:p>
        </w:tc>
        <w:tc>
          <w:tcPr>
            <w:tcW w:w="107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31 056</w:t>
            </w:r>
          </w:p>
        </w:tc>
        <w:tc>
          <w:tcPr>
            <w:tcW w:w="9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20,3%</w:t>
            </w:r>
          </w:p>
        </w:tc>
      </w:tr>
      <w:tr w:rsidR="00A5744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2013 рік</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15 987</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2</w:t>
            </w:r>
          </w:p>
        </w:tc>
        <w:tc>
          <w:tcPr>
            <w:tcW w:w="15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49</w:t>
            </w:r>
          </w:p>
        </w:tc>
        <w:tc>
          <w:tcPr>
            <w:tcW w:w="140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33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16 038</w:t>
            </w:r>
          </w:p>
        </w:tc>
        <w:tc>
          <w:tcPr>
            <w:tcW w:w="107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-167 727</w:t>
            </w:r>
          </w:p>
        </w:tc>
        <w:tc>
          <w:tcPr>
            <w:tcW w:w="9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-91,3%</w:t>
            </w:r>
          </w:p>
        </w:tc>
      </w:tr>
      <w:tr w:rsidR="00A5744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2014 рік</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11 995</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w:t>
            </w:r>
          </w:p>
        </w:tc>
        <w:tc>
          <w:tcPr>
            <w:tcW w:w="15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49</w:t>
            </w:r>
          </w:p>
        </w:tc>
        <w:tc>
          <w:tcPr>
            <w:tcW w:w="140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33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12 045</w:t>
            </w:r>
          </w:p>
        </w:tc>
        <w:tc>
          <w:tcPr>
            <w:tcW w:w="107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-3 993</w:t>
            </w:r>
          </w:p>
        </w:tc>
        <w:tc>
          <w:tcPr>
            <w:tcW w:w="9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-24,9%</w:t>
            </w:r>
          </w:p>
        </w:tc>
      </w:tr>
      <w:tr w:rsidR="00A5744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2015 рік</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12 464</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w:t>
            </w:r>
          </w:p>
        </w:tc>
        <w:tc>
          <w:tcPr>
            <w:tcW w:w="15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50</w:t>
            </w:r>
          </w:p>
        </w:tc>
        <w:tc>
          <w:tcPr>
            <w:tcW w:w="140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33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12 515</w:t>
            </w:r>
          </w:p>
        </w:tc>
        <w:tc>
          <w:tcPr>
            <w:tcW w:w="107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470</w:t>
            </w:r>
          </w:p>
        </w:tc>
        <w:tc>
          <w:tcPr>
            <w:tcW w:w="9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3,9%</w:t>
            </w:r>
          </w:p>
        </w:tc>
      </w:tr>
      <w:tr w:rsidR="00A5744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2016 рік</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10 638</w:t>
            </w:r>
          </w:p>
        </w:tc>
        <w:tc>
          <w:tcPr>
            <w:tcW w:w="12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3</w:t>
            </w:r>
          </w:p>
        </w:tc>
        <w:tc>
          <w:tcPr>
            <w:tcW w:w="157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26</w:t>
            </w:r>
          </w:p>
        </w:tc>
        <w:tc>
          <w:tcPr>
            <w:tcW w:w="140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 </w:t>
            </w:r>
          </w:p>
        </w:tc>
        <w:tc>
          <w:tcPr>
            <w:tcW w:w="133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10 667</w:t>
            </w:r>
          </w:p>
        </w:tc>
        <w:tc>
          <w:tcPr>
            <w:tcW w:w="1075"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-1 848</w:t>
            </w:r>
          </w:p>
        </w:tc>
        <w:tc>
          <w:tcPr>
            <w:tcW w:w="9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lang w:val="uk-UA"/>
              </w:rPr>
            </w:pPr>
            <w:r w:rsidRPr="00932F66">
              <w:rPr>
                <w:sz w:val="22"/>
                <w:szCs w:val="22"/>
                <w:lang w:val="uk-UA"/>
              </w:rPr>
              <w:t>-14,8%</w:t>
            </w:r>
          </w:p>
        </w:tc>
      </w:tr>
      <w:tr w:rsidR="00A57AC2" w:rsidRPr="00932F66" w:rsidTr="00D32167">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AC2" w:rsidRPr="00932F66" w:rsidRDefault="00A57AC2" w:rsidP="00C90243">
            <w:pPr>
              <w:spacing w:line="276" w:lineRule="auto"/>
              <w:ind w:right="34" w:firstLine="34"/>
              <w:jc w:val="center"/>
              <w:rPr>
                <w:sz w:val="20"/>
                <w:szCs w:val="20"/>
                <w:lang w:val="uk-UA"/>
              </w:rPr>
            </w:pPr>
            <w:r w:rsidRPr="00932F66">
              <w:rPr>
                <w:sz w:val="20"/>
                <w:szCs w:val="20"/>
                <w:lang w:val="uk-UA"/>
              </w:rPr>
              <w:t>2017 рік</w:t>
            </w:r>
          </w:p>
        </w:tc>
        <w:tc>
          <w:tcPr>
            <w:tcW w:w="1276" w:type="dxa"/>
            <w:tcBorders>
              <w:top w:val="nil"/>
              <w:left w:val="nil"/>
              <w:bottom w:val="single" w:sz="8" w:space="0" w:color="auto"/>
              <w:right w:val="single" w:sz="8" w:space="0" w:color="auto"/>
            </w:tcBorders>
            <w:shd w:val="clear" w:color="auto" w:fill="auto"/>
            <w:vAlign w:val="center"/>
            <w:hideMark/>
          </w:tcPr>
          <w:p w:rsidR="00A57AC2" w:rsidRPr="00932F66" w:rsidRDefault="00A57AC2" w:rsidP="00C90243">
            <w:pPr>
              <w:spacing w:line="276" w:lineRule="auto"/>
              <w:ind w:right="34" w:firstLine="34"/>
              <w:jc w:val="center"/>
              <w:rPr>
                <w:lang w:val="uk-UA"/>
              </w:rPr>
            </w:pPr>
            <w:r w:rsidRPr="00932F66">
              <w:rPr>
                <w:sz w:val="22"/>
                <w:szCs w:val="22"/>
                <w:lang w:val="uk-UA"/>
              </w:rPr>
              <w:t>12 698</w:t>
            </w:r>
          </w:p>
        </w:tc>
        <w:tc>
          <w:tcPr>
            <w:tcW w:w="1276" w:type="dxa"/>
            <w:tcBorders>
              <w:top w:val="nil"/>
              <w:left w:val="nil"/>
              <w:bottom w:val="single" w:sz="8" w:space="0" w:color="auto"/>
              <w:right w:val="single" w:sz="8" w:space="0" w:color="auto"/>
            </w:tcBorders>
            <w:shd w:val="clear" w:color="auto" w:fill="auto"/>
            <w:vAlign w:val="center"/>
            <w:hideMark/>
          </w:tcPr>
          <w:p w:rsidR="00A57AC2" w:rsidRPr="00932F66" w:rsidRDefault="00A57AC2" w:rsidP="00C90243">
            <w:pPr>
              <w:spacing w:line="276" w:lineRule="auto"/>
              <w:ind w:right="34" w:firstLine="34"/>
              <w:jc w:val="center"/>
              <w:rPr>
                <w:lang w:val="uk-UA"/>
              </w:rPr>
            </w:pPr>
            <w:r w:rsidRPr="00932F66">
              <w:rPr>
                <w:sz w:val="22"/>
                <w:szCs w:val="22"/>
                <w:lang w:val="uk-UA"/>
              </w:rPr>
              <w:t>49</w:t>
            </w:r>
          </w:p>
        </w:tc>
        <w:tc>
          <w:tcPr>
            <w:tcW w:w="1576" w:type="dxa"/>
            <w:tcBorders>
              <w:top w:val="nil"/>
              <w:left w:val="nil"/>
              <w:bottom w:val="single" w:sz="8" w:space="0" w:color="auto"/>
              <w:right w:val="single" w:sz="8" w:space="0" w:color="auto"/>
            </w:tcBorders>
            <w:shd w:val="clear" w:color="auto" w:fill="auto"/>
            <w:vAlign w:val="center"/>
            <w:hideMark/>
          </w:tcPr>
          <w:p w:rsidR="00A57AC2" w:rsidRPr="00932F66" w:rsidRDefault="00A57AC2" w:rsidP="00C90243">
            <w:pPr>
              <w:spacing w:line="276" w:lineRule="auto"/>
              <w:ind w:right="34" w:firstLine="34"/>
              <w:jc w:val="center"/>
              <w:rPr>
                <w:lang w:val="uk-UA"/>
              </w:rPr>
            </w:pPr>
            <w:r w:rsidRPr="00932F66">
              <w:rPr>
                <w:sz w:val="22"/>
                <w:szCs w:val="22"/>
                <w:lang w:val="uk-UA"/>
              </w:rPr>
              <w:t>26</w:t>
            </w:r>
          </w:p>
        </w:tc>
        <w:tc>
          <w:tcPr>
            <w:tcW w:w="1400" w:type="dxa"/>
            <w:tcBorders>
              <w:top w:val="nil"/>
              <w:left w:val="nil"/>
              <w:bottom w:val="single" w:sz="8" w:space="0" w:color="auto"/>
              <w:right w:val="single" w:sz="8" w:space="0" w:color="auto"/>
            </w:tcBorders>
            <w:shd w:val="clear" w:color="auto" w:fill="auto"/>
            <w:vAlign w:val="center"/>
            <w:hideMark/>
          </w:tcPr>
          <w:p w:rsidR="00A57AC2" w:rsidRPr="00932F66" w:rsidRDefault="00A57AC2" w:rsidP="00C90243">
            <w:pPr>
              <w:spacing w:line="276" w:lineRule="auto"/>
              <w:ind w:right="34" w:firstLine="34"/>
              <w:jc w:val="center"/>
              <w:rPr>
                <w:lang w:val="uk-UA"/>
              </w:rPr>
            </w:pPr>
            <w:r w:rsidRPr="00932F66">
              <w:rPr>
                <w:sz w:val="22"/>
                <w:szCs w:val="22"/>
                <w:lang w:val="uk-UA"/>
              </w:rPr>
              <w:t>1</w:t>
            </w:r>
          </w:p>
        </w:tc>
        <w:tc>
          <w:tcPr>
            <w:tcW w:w="1335" w:type="dxa"/>
            <w:tcBorders>
              <w:top w:val="nil"/>
              <w:left w:val="nil"/>
              <w:bottom w:val="single" w:sz="8" w:space="0" w:color="auto"/>
              <w:right w:val="single" w:sz="8" w:space="0" w:color="auto"/>
            </w:tcBorders>
            <w:shd w:val="clear" w:color="auto" w:fill="auto"/>
            <w:noWrap/>
            <w:vAlign w:val="center"/>
            <w:hideMark/>
          </w:tcPr>
          <w:p w:rsidR="00A57AC2" w:rsidRPr="00932F66" w:rsidRDefault="00A57AC2" w:rsidP="00C90243">
            <w:pPr>
              <w:spacing w:line="276" w:lineRule="auto"/>
              <w:ind w:right="34" w:firstLine="34"/>
              <w:jc w:val="center"/>
              <w:rPr>
                <w:lang w:val="uk-UA"/>
              </w:rPr>
            </w:pPr>
            <w:r w:rsidRPr="00932F66">
              <w:rPr>
                <w:sz w:val="22"/>
                <w:szCs w:val="22"/>
                <w:lang w:val="uk-UA"/>
              </w:rPr>
              <w:t>12 774</w:t>
            </w:r>
          </w:p>
        </w:tc>
        <w:tc>
          <w:tcPr>
            <w:tcW w:w="1075" w:type="dxa"/>
            <w:tcBorders>
              <w:top w:val="nil"/>
              <w:left w:val="nil"/>
              <w:bottom w:val="single" w:sz="8" w:space="0" w:color="auto"/>
              <w:right w:val="single" w:sz="8" w:space="0" w:color="auto"/>
            </w:tcBorders>
            <w:shd w:val="clear" w:color="auto" w:fill="auto"/>
            <w:noWrap/>
            <w:vAlign w:val="center"/>
            <w:hideMark/>
          </w:tcPr>
          <w:p w:rsidR="00A57AC2" w:rsidRPr="00932F66" w:rsidRDefault="00A57AC2" w:rsidP="00C90243">
            <w:pPr>
              <w:spacing w:line="276" w:lineRule="auto"/>
              <w:ind w:right="34" w:firstLine="34"/>
              <w:jc w:val="center"/>
              <w:rPr>
                <w:lang w:val="uk-UA"/>
              </w:rPr>
            </w:pPr>
            <w:r w:rsidRPr="00932F66">
              <w:rPr>
                <w:sz w:val="22"/>
                <w:szCs w:val="22"/>
                <w:lang w:val="uk-UA"/>
              </w:rPr>
              <w:t>2 107</w:t>
            </w:r>
          </w:p>
        </w:tc>
        <w:tc>
          <w:tcPr>
            <w:tcW w:w="992" w:type="dxa"/>
            <w:tcBorders>
              <w:top w:val="nil"/>
              <w:left w:val="nil"/>
              <w:bottom w:val="single" w:sz="8" w:space="0" w:color="auto"/>
              <w:right w:val="single" w:sz="8" w:space="0" w:color="auto"/>
            </w:tcBorders>
            <w:shd w:val="clear" w:color="auto" w:fill="auto"/>
            <w:noWrap/>
            <w:vAlign w:val="center"/>
            <w:hideMark/>
          </w:tcPr>
          <w:p w:rsidR="00A57AC2" w:rsidRPr="00932F66" w:rsidRDefault="00A57AC2" w:rsidP="00C90243">
            <w:pPr>
              <w:spacing w:line="276" w:lineRule="auto"/>
              <w:ind w:right="34" w:firstLine="34"/>
              <w:jc w:val="center"/>
              <w:rPr>
                <w:lang w:val="uk-UA"/>
              </w:rPr>
            </w:pPr>
            <w:r w:rsidRPr="00932F66">
              <w:rPr>
                <w:sz w:val="22"/>
                <w:szCs w:val="22"/>
                <w:lang w:val="uk-UA"/>
              </w:rPr>
              <w:t>19,8%</w:t>
            </w:r>
          </w:p>
        </w:tc>
      </w:tr>
      <w:tr w:rsidR="00A57AC2" w:rsidRPr="00932F66" w:rsidTr="00D32167">
        <w:trPr>
          <w:trHeight w:val="146"/>
        </w:trPr>
        <w:tc>
          <w:tcPr>
            <w:tcW w:w="1276" w:type="dxa"/>
            <w:tcBorders>
              <w:top w:val="nil"/>
              <w:left w:val="single" w:sz="8" w:space="0" w:color="auto"/>
              <w:bottom w:val="nil"/>
              <w:right w:val="single" w:sz="8" w:space="0" w:color="auto"/>
            </w:tcBorders>
            <w:shd w:val="clear" w:color="auto" w:fill="auto"/>
            <w:vAlign w:val="center"/>
            <w:hideMark/>
          </w:tcPr>
          <w:p w:rsidR="00A57AC2" w:rsidRPr="00932F66" w:rsidRDefault="00A57AC2" w:rsidP="00C90243">
            <w:pPr>
              <w:spacing w:line="276" w:lineRule="auto"/>
              <w:ind w:right="34" w:firstLine="34"/>
              <w:rPr>
                <w:sz w:val="20"/>
                <w:szCs w:val="20"/>
                <w:lang w:val="uk-UA"/>
              </w:rPr>
            </w:pPr>
          </w:p>
        </w:tc>
        <w:tc>
          <w:tcPr>
            <w:tcW w:w="1276" w:type="dxa"/>
            <w:tcBorders>
              <w:top w:val="nil"/>
              <w:left w:val="nil"/>
              <w:bottom w:val="nil"/>
              <w:right w:val="single" w:sz="8" w:space="0" w:color="auto"/>
            </w:tcBorders>
            <w:shd w:val="clear" w:color="auto" w:fill="auto"/>
            <w:vAlign w:val="center"/>
            <w:hideMark/>
          </w:tcPr>
          <w:p w:rsidR="00A57AC2" w:rsidRPr="00932F66" w:rsidRDefault="00A57AC2" w:rsidP="00C90243">
            <w:pPr>
              <w:spacing w:line="276" w:lineRule="auto"/>
              <w:ind w:right="34" w:firstLine="34"/>
              <w:jc w:val="center"/>
              <w:rPr>
                <w:lang w:val="uk-UA"/>
              </w:rPr>
            </w:pPr>
          </w:p>
        </w:tc>
        <w:tc>
          <w:tcPr>
            <w:tcW w:w="1276" w:type="dxa"/>
            <w:tcBorders>
              <w:top w:val="nil"/>
              <w:left w:val="nil"/>
              <w:bottom w:val="nil"/>
              <w:right w:val="single" w:sz="8" w:space="0" w:color="auto"/>
            </w:tcBorders>
            <w:shd w:val="clear" w:color="auto" w:fill="auto"/>
            <w:vAlign w:val="center"/>
            <w:hideMark/>
          </w:tcPr>
          <w:p w:rsidR="00A57AC2" w:rsidRPr="00932F66" w:rsidRDefault="00A57AC2" w:rsidP="00C90243">
            <w:pPr>
              <w:spacing w:line="276" w:lineRule="auto"/>
              <w:ind w:right="34" w:firstLine="34"/>
              <w:rPr>
                <w:lang w:val="uk-UA"/>
              </w:rPr>
            </w:pPr>
          </w:p>
        </w:tc>
        <w:tc>
          <w:tcPr>
            <w:tcW w:w="1576" w:type="dxa"/>
            <w:tcBorders>
              <w:top w:val="nil"/>
              <w:left w:val="nil"/>
              <w:bottom w:val="nil"/>
              <w:right w:val="single" w:sz="8" w:space="0" w:color="auto"/>
            </w:tcBorders>
            <w:shd w:val="clear" w:color="auto" w:fill="auto"/>
            <w:vAlign w:val="center"/>
            <w:hideMark/>
          </w:tcPr>
          <w:p w:rsidR="00A57AC2" w:rsidRPr="00932F66" w:rsidRDefault="00A57AC2" w:rsidP="00C90243">
            <w:pPr>
              <w:spacing w:line="276" w:lineRule="auto"/>
              <w:ind w:right="34" w:firstLine="34"/>
              <w:rPr>
                <w:lang w:val="uk-UA"/>
              </w:rPr>
            </w:pPr>
          </w:p>
        </w:tc>
        <w:tc>
          <w:tcPr>
            <w:tcW w:w="1400" w:type="dxa"/>
            <w:tcBorders>
              <w:top w:val="nil"/>
              <w:left w:val="nil"/>
              <w:bottom w:val="nil"/>
              <w:right w:val="single" w:sz="8" w:space="0" w:color="auto"/>
            </w:tcBorders>
            <w:shd w:val="clear" w:color="auto" w:fill="auto"/>
            <w:vAlign w:val="center"/>
            <w:hideMark/>
          </w:tcPr>
          <w:p w:rsidR="00A57AC2" w:rsidRPr="00932F66" w:rsidRDefault="00A57AC2" w:rsidP="00C90243">
            <w:pPr>
              <w:spacing w:line="276" w:lineRule="auto"/>
              <w:ind w:right="34" w:firstLine="34"/>
              <w:jc w:val="center"/>
              <w:rPr>
                <w:lang w:val="uk-UA"/>
              </w:rPr>
            </w:pPr>
          </w:p>
        </w:tc>
        <w:tc>
          <w:tcPr>
            <w:tcW w:w="1335" w:type="dxa"/>
            <w:tcBorders>
              <w:top w:val="nil"/>
              <w:left w:val="nil"/>
              <w:bottom w:val="nil"/>
              <w:right w:val="single" w:sz="8" w:space="0" w:color="auto"/>
            </w:tcBorders>
            <w:shd w:val="clear" w:color="auto" w:fill="auto"/>
            <w:noWrap/>
            <w:vAlign w:val="center"/>
            <w:hideMark/>
          </w:tcPr>
          <w:p w:rsidR="00A57AC2" w:rsidRPr="00932F66" w:rsidRDefault="00A57AC2" w:rsidP="00C90243">
            <w:pPr>
              <w:spacing w:line="276" w:lineRule="auto"/>
              <w:ind w:right="34" w:firstLine="34"/>
              <w:jc w:val="center"/>
              <w:rPr>
                <w:lang w:val="uk-UA"/>
              </w:rPr>
            </w:pPr>
          </w:p>
        </w:tc>
        <w:tc>
          <w:tcPr>
            <w:tcW w:w="1075" w:type="dxa"/>
            <w:tcBorders>
              <w:top w:val="nil"/>
              <w:left w:val="nil"/>
              <w:bottom w:val="nil"/>
              <w:right w:val="single" w:sz="8" w:space="0" w:color="auto"/>
            </w:tcBorders>
            <w:shd w:val="clear" w:color="auto" w:fill="auto"/>
            <w:noWrap/>
            <w:vAlign w:val="center"/>
            <w:hideMark/>
          </w:tcPr>
          <w:p w:rsidR="00A57AC2" w:rsidRPr="00932F66" w:rsidRDefault="00A57AC2" w:rsidP="00C90243">
            <w:pPr>
              <w:spacing w:line="276" w:lineRule="auto"/>
              <w:ind w:right="34" w:firstLine="34"/>
              <w:jc w:val="center"/>
              <w:rPr>
                <w:lang w:val="uk-UA"/>
              </w:rPr>
            </w:pPr>
          </w:p>
        </w:tc>
        <w:tc>
          <w:tcPr>
            <w:tcW w:w="992" w:type="dxa"/>
            <w:tcBorders>
              <w:top w:val="nil"/>
              <w:left w:val="nil"/>
              <w:bottom w:val="nil"/>
              <w:right w:val="single" w:sz="8" w:space="0" w:color="auto"/>
            </w:tcBorders>
            <w:shd w:val="clear" w:color="auto" w:fill="auto"/>
            <w:noWrap/>
            <w:vAlign w:val="center"/>
            <w:hideMark/>
          </w:tcPr>
          <w:p w:rsidR="00A57AC2" w:rsidRPr="00932F66" w:rsidRDefault="00A57AC2" w:rsidP="00C90243">
            <w:pPr>
              <w:spacing w:line="276" w:lineRule="auto"/>
              <w:ind w:right="34" w:firstLine="34"/>
              <w:jc w:val="center"/>
              <w:rPr>
                <w:lang w:val="uk-UA"/>
              </w:rPr>
            </w:pPr>
          </w:p>
        </w:tc>
      </w:tr>
      <w:tr w:rsidR="00A57AC2" w:rsidRPr="00932F66" w:rsidTr="00D32167">
        <w:trPr>
          <w:trHeight w:val="214"/>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A57AC2" w:rsidRPr="00932F66" w:rsidRDefault="003E79F8" w:rsidP="00C90243">
            <w:pPr>
              <w:spacing w:line="276" w:lineRule="auto"/>
              <w:ind w:right="34" w:firstLine="34"/>
              <w:rPr>
                <w:sz w:val="20"/>
                <w:szCs w:val="20"/>
                <w:lang w:val="uk-UA"/>
              </w:rPr>
            </w:pPr>
            <w:r w:rsidRPr="00932F66">
              <w:rPr>
                <w:sz w:val="20"/>
                <w:szCs w:val="20"/>
                <w:lang w:val="uk-UA"/>
              </w:rPr>
              <w:t xml:space="preserve">* </w:t>
            </w:r>
            <w:r w:rsidR="008A40FE" w:rsidRPr="00932F66">
              <w:rPr>
                <w:sz w:val="20"/>
                <w:szCs w:val="20"/>
                <w:lang w:val="uk-UA"/>
              </w:rPr>
              <w:t>2</w:t>
            </w:r>
            <w:r w:rsidR="00A57AC2" w:rsidRPr="00932F66">
              <w:rPr>
                <w:sz w:val="20"/>
                <w:szCs w:val="20"/>
                <w:lang w:val="uk-UA"/>
              </w:rPr>
              <w:t>018 рік</w:t>
            </w:r>
          </w:p>
        </w:tc>
        <w:tc>
          <w:tcPr>
            <w:tcW w:w="1276" w:type="dxa"/>
            <w:tcBorders>
              <w:top w:val="nil"/>
              <w:left w:val="nil"/>
              <w:bottom w:val="single" w:sz="8" w:space="0" w:color="auto"/>
              <w:right w:val="single" w:sz="8" w:space="0" w:color="auto"/>
            </w:tcBorders>
            <w:shd w:val="clear" w:color="auto" w:fill="auto"/>
            <w:vAlign w:val="center"/>
            <w:hideMark/>
          </w:tcPr>
          <w:p w:rsidR="00A57AC2" w:rsidRPr="00932F66" w:rsidRDefault="008A40FE" w:rsidP="00C90243">
            <w:pPr>
              <w:spacing w:line="276" w:lineRule="auto"/>
              <w:ind w:right="34" w:firstLine="34"/>
              <w:jc w:val="center"/>
              <w:rPr>
                <w:lang w:val="uk-UA"/>
              </w:rPr>
            </w:pPr>
            <w:r w:rsidRPr="00932F66">
              <w:rPr>
                <w:sz w:val="22"/>
                <w:szCs w:val="22"/>
                <w:lang w:val="uk-UA"/>
              </w:rPr>
              <w:t>7481</w:t>
            </w:r>
          </w:p>
        </w:tc>
        <w:tc>
          <w:tcPr>
            <w:tcW w:w="1276" w:type="dxa"/>
            <w:tcBorders>
              <w:top w:val="nil"/>
              <w:left w:val="nil"/>
              <w:bottom w:val="single" w:sz="8" w:space="0" w:color="auto"/>
              <w:right w:val="single" w:sz="8" w:space="0" w:color="auto"/>
            </w:tcBorders>
            <w:shd w:val="clear" w:color="auto" w:fill="auto"/>
            <w:vAlign w:val="center"/>
            <w:hideMark/>
          </w:tcPr>
          <w:p w:rsidR="00A57AC2" w:rsidRPr="00932F66" w:rsidRDefault="00C27316" w:rsidP="00C90243">
            <w:pPr>
              <w:spacing w:line="276" w:lineRule="auto"/>
              <w:ind w:right="34" w:firstLine="34"/>
              <w:jc w:val="center"/>
              <w:rPr>
                <w:lang w:val="uk-UA"/>
              </w:rPr>
            </w:pPr>
            <w:r w:rsidRPr="00932F66">
              <w:rPr>
                <w:sz w:val="22"/>
                <w:szCs w:val="22"/>
                <w:lang w:val="uk-UA"/>
              </w:rPr>
              <w:t>1</w:t>
            </w:r>
          </w:p>
        </w:tc>
        <w:tc>
          <w:tcPr>
            <w:tcW w:w="1576" w:type="dxa"/>
            <w:tcBorders>
              <w:top w:val="nil"/>
              <w:left w:val="nil"/>
              <w:bottom w:val="single" w:sz="8" w:space="0" w:color="auto"/>
              <w:right w:val="single" w:sz="8" w:space="0" w:color="auto"/>
            </w:tcBorders>
            <w:shd w:val="clear" w:color="auto" w:fill="auto"/>
            <w:vAlign w:val="center"/>
            <w:hideMark/>
          </w:tcPr>
          <w:p w:rsidR="00A57AC2" w:rsidRPr="00932F66" w:rsidRDefault="00A57AC2" w:rsidP="00C90243">
            <w:pPr>
              <w:spacing w:line="276" w:lineRule="auto"/>
              <w:ind w:right="34" w:firstLine="34"/>
              <w:jc w:val="center"/>
              <w:rPr>
                <w:lang w:val="uk-UA"/>
              </w:rPr>
            </w:pPr>
            <w:r w:rsidRPr="00932F66">
              <w:rPr>
                <w:sz w:val="22"/>
                <w:szCs w:val="22"/>
                <w:lang w:val="uk-UA"/>
              </w:rPr>
              <w:t>2</w:t>
            </w:r>
            <w:r w:rsidR="00CD3C4A" w:rsidRPr="00932F66">
              <w:rPr>
                <w:sz w:val="22"/>
                <w:szCs w:val="22"/>
                <w:lang w:val="uk-UA"/>
              </w:rPr>
              <w:t>3</w:t>
            </w:r>
          </w:p>
        </w:tc>
        <w:tc>
          <w:tcPr>
            <w:tcW w:w="1400" w:type="dxa"/>
            <w:tcBorders>
              <w:top w:val="nil"/>
              <w:left w:val="nil"/>
              <w:bottom w:val="single" w:sz="8" w:space="0" w:color="auto"/>
              <w:right w:val="single" w:sz="8" w:space="0" w:color="auto"/>
            </w:tcBorders>
            <w:shd w:val="clear" w:color="auto" w:fill="auto"/>
            <w:vAlign w:val="center"/>
            <w:hideMark/>
          </w:tcPr>
          <w:p w:rsidR="00A57AC2" w:rsidRPr="00932F66" w:rsidRDefault="00A57AC2" w:rsidP="00C90243">
            <w:pPr>
              <w:spacing w:line="276" w:lineRule="auto"/>
              <w:ind w:right="34" w:firstLine="34"/>
              <w:jc w:val="center"/>
              <w:rPr>
                <w:lang w:val="uk-UA"/>
              </w:rPr>
            </w:pPr>
          </w:p>
        </w:tc>
        <w:tc>
          <w:tcPr>
            <w:tcW w:w="1335" w:type="dxa"/>
            <w:tcBorders>
              <w:top w:val="nil"/>
              <w:left w:val="nil"/>
              <w:bottom w:val="single" w:sz="8" w:space="0" w:color="auto"/>
              <w:right w:val="single" w:sz="8" w:space="0" w:color="auto"/>
            </w:tcBorders>
            <w:shd w:val="clear" w:color="auto" w:fill="auto"/>
            <w:noWrap/>
            <w:vAlign w:val="center"/>
            <w:hideMark/>
          </w:tcPr>
          <w:p w:rsidR="00A57AC2" w:rsidRPr="00932F66" w:rsidRDefault="008A40FE" w:rsidP="00C90243">
            <w:pPr>
              <w:spacing w:line="276" w:lineRule="auto"/>
              <w:ind w:right="34" w:firstLine="34"/>
              <w:jc w:val="center"/>
              <w:rPr>
                <w:lang w:val="uk-UA"/>
              </w:rPr>
            </w:pPr>
            <w:r w:rsidRPr="00932F66">
              <w:rPr>
                <w:sz w:val="22"/>
                <w:szCs w:val="22"/>
                <w:lang w:val="uk-UA"/>
              </w:rPr>
              <w:t>7505</w:t>
            </w:r>
          </w:p>
        </w:tc>
        <w:tc>
          <w:tcPr>
            <w:tcW w:w="1075" w:type="dxa"/>
            <w:tcBorders>
              <w:top w:val="nil"/>
              <w:left w:val="nil"/>
              <w:bottom w:val="single" w:sz="8" w:space="0" w:color="auto"/>
              <w:right w:val="single" w:sz="8" w:space="0" w:color="auto"/>
            </w:tcBorders>
            <w:shd w:val="clear" w:color="auto" w:fill="auto"/>
            <w:noWrap/>
            <w:vAlign w:val="center"/>
            <w:hideMark/>
          </w:tcPr>
          <w:p w:rsidR="00A57AC2" w:rsidRPr="00932F66" w:rsidRDefault="003E79F8" w:rsidP="00C90243">
            <w:pPr>
              <w:spacing w:line="276" w:lineRule="auto"/>
              <w:ind w:right="34" w:firstLine="34"/>
              <w:jc w:val="center"/>
              <w:rPr>
                <w:lang w:val="uk-UA"/>
              </w:rPr>
            </w:pPr>
            <w:r w:rsidRPr="00932F66">
              <w:rPr>
                <w:lang w:val="uk-UA"/>
              </w:rPr>
              <w:t>-</w:t>
            </w:r>
          </w:p>
        </w:tc>
        <w:tc>
          <w:tcPr>
            <w:tcW w:w="992" w:type="dxa"/>
            <w:tcBorders>
              <w:top w:val="nil"/>
              <w:left w:val="nil"/>
              <w:bottom w:val="single" w:sz="8" w:space="0" w:color="auto"/>
              <w:right w:val="single" w:sz="8" w:space="0" w:color="auto"/>
            </w:tcBorders>
            <w:shd w:val="clear" w:color="auto" w:fill="auto"/>
            <w:noWrap/>
            <w:vAlign w:val="center"/>
            <w:hideMark/>
          </w:tcPr>
          <w:p w:rsidR="00A57AC2" w:rsidRPr="00932F66" w:rsidRDefault="003E79F8" w:rsidP="00C90243">
            <w:pPr>
              <w:spacing w:line="276" w:lineRule="auto"/>
              <w:ind w:right="34" w:firstLine="34"/>
              <w:jc w:val="center"/>
              <w:rPr>
                <w:lang w:val="uk-UA"/>
              </w:rPr>
            </w:pPr>
            <w:r w:rsidRPr="00932F66">
              <w:rPr>
                <w:lang w:val="uk-UA"/>
              </w:rPr>
              <w:t>-</w:t>
            </w:r>
          </w:p>
        </w:tc>
      </w:tr>
    </w:tbl>
    <w:p w:rsidR="00A57442" w:rsidRPr="00932F66" w:rsidRDefault="00A57442" w:rsidP="00C90243">
      <w:pPr>
        <w:pStyle w:val="aa"/>
        <w:spacing w:line="276" w:lineRule="auto"/>
        <w:ind w:firstLine="709"/>
        <w:jc w:val="both"/>
      </w:pPr>
    </w:p>
    <w:p w:rsidR="008A40FE" w:rsidRDefault="008A40FE" w:rsidP="00C90243">
      <w:pPr>
        <w:pStyle w:val="aa"/>
        <w:spacing w:line="276" w:lineRule="auto"/>
        <w:ind w:firstLine="709"/>
        <w:jc w:val="both"/>
        <w:rPr>
          <w:b w:val="0"/>
          <w:sz w:val="24"/>
          <w:szCs w:val="24"/>
        </w:rPr>
      </w:pPr>
      <w:r w:rsidRPr="00932F66">
        <w:rPr>
          <w:b w:val="0"/>
          <w:sz w:val="24"/>
          <w:szCs w:val="24"/>
        </w:rPr>
        <w:t xml:space="preserve">* </w:t>
      </w:r>
      <w:r w:rsidR="00D32167">
        <w:rPr>
          <w:b w:val="0"/>
          <w:sz w:val="24"/>
          <w:szCs w:val="24"/>
        </w:rPr>
        <w:t>За пер</w:t>
      </w:r>
      <w:r w:rsidRPr="00932F66">
        <w:rPr>
          <w:b w:val="0"/>
          <w:sz w:val="24"/>
          <w:szCs w:val="24"/>
        </w:rPr>
        <w:t>іод з 01.01.</w:t>
      </w:r>
      <w:r w:rsidR="00D32167">
        <w:rPr>
          <w:b w:val="0"/>
          <w:sz w:val="24"/>
          <w:szCs w:val="24"/>
        </w:rPr>
        <w:t>2018</w:t>
      </w:r>
      <w:r w:rsidRPr="00932F66">
        <w:rPr>
          <w:b w:val="0"/>
          <w:sz w:val="24"/>
          <w:szCs w:val="24"/>
        </w:rPr>
        <w:t xml:space="preserve"> по 02.10.2018.</w:t>
      </w:r>
    </w:p>
    <w:p w:rsidR="00D32167" w:rsidRPr="00932F66" w:rsidRDefault="00D32167" w:rsidP="00C90243">
      <w:pPr>
        <w:pStyle w:val="aa"/>
        <w:spacing w:line="276" w:lineRule="auto"/>
        <w:ind w:firstLine="709"/>
        <w:jc w:val="both"/>
        <w:rPr>
          <w:b w:val="0"/>
          <w:sz w:val="24"/>
          <w:szCs w:val="24"/>
        </w:rPr>
      </w:pPr>
    </w:p>
    <w:p w:rsidR="00A57442" w:rsidRPr="00932F66" w:rsidRDefault="007816B0" w:rsidP="00C90243">
      <w:pPr>
        <w:pStyle w:val="aa"/>
        <w:spacing w:line="276" w:lineRule="auto"/>
        <w:ind w:firstLine="709"/>
        <w:jc w:val="both"/>
        <w:rPr>
          <w:b w:val="0"/>
        </w:rPr>
      </w:pPr>
      <w:r w:rsidRPr="00932F66">
        <w:rPr>
          <w:b w:val="0"/>
        </w:rPr>
        <w:lastRenderedPageBreak/>
        <w:t>За весь час існування ЛААС, починаючи з 2007 року</w:t>
      </w:r>
      <w:r w:rsidR="00A57442" w:rsidRPr="00932F66">
        <w:rPr>
          <w:b w:val="0"/>
        </w:rPr>
        <w:t>,</w:t>
      </w:r>
      <w:r w:rsidRPr="00932F66">
        <w:rPr>
          <w:b w:val="0"/>
        </w:rPr>
        <w:t xml:space="preserve"> Гістограма 1 відображає коливання показника надходження справ та матеріалів у сторону зростання </w:t>
      </w:r>
      <w:r w:rsidR="00A57442" w:rsidRPr="00932F66">
        <w:rPr>
          <w:b w:val="0"/>
        </w:rPr>
        <w:t>із зменшенням у 2010 році, та досягненням свого кількісного максимуму у 2012 році. Потім цей показник почав стрімко падати, а упродовж 2015 року була тенденція до незначного зростання показника надходження справ та матеріалів на розгляд Львівського апеляційного адміністративного суду у порівнянні з 2014 роком, упродовж 2016 року цей показник зменшився, у 2017 році надходження справ та матеріалів збільшилось на 20%.</w:t>
      </w:r>
    </w:p>
    <w:p w:rsidR="007816B0" w:rsidRPr="00932F66" w:rsidRDefault="007816B0" w:rsidP="00C90243">
      <w:pPr>
        <w:pStyle w:val="aa"/>
        <w:spacing w:line="276" w:lineRule="auto"/>
        <w:ind w:firstLine="709"/>
        <w:jc w:val="right"/>
      </w:pPr>
    </w:p>
    <w:p w:rsidR="00A57442" w:rsidRPr="00932F66" w:rsidRDefault="00A57442" w:rsidP="00C90243">
      <w:pPr>
        <w:pStyle w:val="aa"/>
        <w:spacing w:line="276" w:lineRule="auto"/>
        <w:ind w:firstLine="709"/>
        <w:jc w:val="right"/>
      </w:pPr>
      <w:r w:rsidRPr="00932F66">
        <w:t>Гістограма 1</w:t>
      </w:r>
    </w:p>
    <w:tbl>
      <w:tblPr>
        <w:tblW w:w="10473" w:type="dxa"/>
        <w:jc w:val="center"/>
        <w:tblLook w:val="04A0"/>
      </w:tblPr>
      <w:tblGrid>
        <w:gridCol w:w="10473"/>
      </w:tblGrid>
      <w:tr w:rsidR="00A57442" w:rsidRPr="00932F66" w:rsidTr="00205325">
        <w:trPr>
          <w:jc w:val="center"/>
        </w:trPr>
        <w:tc>
          <w:tcPr>
            <w:tcW w:w="10473" w:type="dxa"/>
          </w:tcPr>
          <w:p w:rsidR="00B01C5D" w:rsidRPr="00932F66" w:rsidRDefault="00A57442" w:rsidP="00C90243">
            <w:pPr>
              <w:pStyle w:val="aa"/>
              <w:spacing w:line="276" w:lineRule="auto"/>
              <w:ind w:firstLine="709"/>
            </w:pPr>
            <w:r w:rsidRPr="00932F66">
              <w:t xml:space="preserve">Показники кількості справ та матеріалів, </w:t>
            </w:r>
          </w:p>
          <w:p w:rsidR="00B01C5D" w:rsidRPr="00932F66" w:rsidRDefault="00A57442" w:rsidP="00C90243">
            <w:pPr>
              <w:pStyle w:val="aa"/>
              <w:spacing w:line="276" w:lineRule="auto"/>
              <w:ind w:firstLine="709"/>
            </w:pPr>
            <w:r w:rsidRPr="00932F66">
              <w:t>які надійшли та переб</w:t>
            </w:r>
            <w:r w:rsidR="003F2448" w:rsidRPr="00932F66">
              <w:t xml:space="preserve">ували на розгляді у </w:t>
            </w:r>
          </w:p>
          <w:p w:rsidR="00A57442" w:rsidRPr="00932F66" w:rsidRDefault="003F2448" w:rsidP="00C90243">
            <w:pPr>
              <w:pStyle w:val="aa"/>
              <w:spacing w:line="276" w:lineRule="auto"/>
              <w:ind w:firstLine="709"/>
            </w:pPr>
            <w:r w:rsidRPr="00932F66">
              <w:t xml:space="preserve">Львівському </w:t>
            </w:r>
            <w:r w:rsidR="00A57442" w:rsidRPr="00932F66">
              <w:t>апеляційному адміністративному суді</w:t>
            </w:r>
          </w:p>
          <w:p w:rsidR="00E9456C" w:rsidRPr="00932F66" w:rsidRDefault="00A57442" w:rsidP="00C90243">
            <w:pPr>
              <w:pStyle w:val="aa"/>
              <w:spacing w:line="276" w:lineRule="auto"/>
              <w:ind w:firstLine="709"/>
            </w:pPr>
            <w:r w:rsidRPr="00932F66">
              <w:t>упродовж І півріччя 2007- 201</w:t>
            </w:r>
            <w:r w:rsidR="00B01C5D" w:rsidRPr="00932F66">
              <w:t>8</w:t>
            </w:r>
            <w:r w:rsidRPr="00932F66">
              <w:t xml:space="preserve"> років</w:t>
            </w:r>
          </w:p>
          <w:p w:rsidR="00E9456C" w:rsidRPr="00932F66" w:rsidRDefault="00E9456C" w:rsidP="00C90243">
            <w:pPr>
              <w:pStyle w:val="aa"/>
              <w:spacing w:line="276" w:lineRule="auto"/>
              <w:ind w:firstLine="709"/>
            </w:pPr>
          </w:p>
          <w:p w:rsidR="00A57442" w:rsidRPr="00932F66" w:rsidRDefault="007816B0" w:rsidP="00C90243">
            <w:pPr>
              <w:pStyle w:val="aa"/>
              <w:spacing w:line="276" w:lineRule="auto"/>
              <w:ind w:firstLine="26"/>
            </w:pPr>
            <w:r w:rsidRPr="00932F66">
              <w:rPr>
                <w:noProof/>
                <w:lang w:val="ru-RU"/>
              </w:rPr>
              <w:drawing>
                <wp:inline distT="0" distB="0" distL="0" distR="0">
                  <wp:extent cx="6096000" cy="3228975"/>
                  <wp:effectExtent l="19050" t="0" r="1905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B01C5D" w:rsidRPr="00932F66" w:rsidRDefault="00B01C5D" w:rsidP="00C90243">
      <w:pPr>
        <w:pStyle w:val="aa"/>
        <w:spacing w:line="276" w:lineRule="auto"/>
        <w:ind w:firstLine="709"/>
        <w:jc w:val="both"/>
        <w:rPr>
          <w:b w:val="0"/>
        </w:rPr>
      </w:pPr>
    </w:p>
    <w:p w:rsidR="00A57442" w:rsidRPr="00932F66" w:rsidRDefault="00205325" w:rsidP="00C90243">
      <w:pPr>
        <w:pStyle w:val="aa"/>
        <w:spacing w:line="276" w:lineRule="auto"/>
        <w:ind w:firstLine="709"/>
        <w:jc w:val="both"/>
        <w:rPr>
          <w:b w:val="0"/>
        </w:rPr>
      </w:pPr>
      <w:r w:rsidRPr="00932F66">
        <w:rPr>
          <w:b w:val="0"/>
        </w:rPr>
        <w:t xml:space="preserve">Збільшеннянадходження апеляційних скарг </w:t>
      </w:r>
      <w:r w:rsidR="00A57442" w:rsidRPr="00932F66">
        <w:rPr>
          <w:b w:val="0"/>
        </w:rPr>
        <w:t>пояснюється тим, що перегляд в апеляційному порядку рішень, винесених судами першої інстанції у справах щодо спорів фізичних осіб з суб’єктами владних повноважень з приводу обчислення, призначення, перерахунку, здійснення, надання, одержання пенсійних виплат, соціальних виплат непр</w:t>
      </w:r>
      <w:r w:rsidR="00B01C5D" w:rsidRPr="00932F66">
        <w:rPr>
          <w:b w:val="0"/>
        </w:rPr>
        <w:t>а</w:t>
      </w:r>
      <w:r w:rsidR="00A57442" w:rsidRPr="00932F66">
        <w:rPr>
          <w:b w:val="0"/>
        </w:rPr>
        <w:t>цездатним громадянам, виплат та пільг дітям війни, інших соціальних виплат, доплат, соціальних послуг, допомоги, захисту, пільг (далі - справи, пов’язані з соціальними виплатами), здійснювався апеляційними судами областей в порядку цивільного судочинства.</w:t>
      </w:r>
    </w:p>
    <w:p w:rsidR="00A57442" w:rsidRPr="00932F66" w:rsidRDefault="00A57442" w:rsidP="00C90243">
      <w:pPr>
        <w:pStyle w:val="aa"/>
        <w:spacing w:line="276" w:lineRule="auto"/>
        <w:ind w:firstLine="709"/>
        <w:jc w:val="both"/>
      </w:pPr>
      <w:r w:rsidRPr="00932F66">
        <w:rPr>
          <w:b w:val="0"/>
        </w:rPr>
        <w:lastRenderedPageBreak/>
        <w:t>Частка цієї категорії справ в структурі поступлень коливається наступним чином: у 2014 році більше 37%, у 2015 році - більше 45%, у 2016 році більше 38%, у 2017 році – більше 49%. Таким чином, у звітному періоді зростання надходження апеляційних скарг відбулось в основному за рахунок справ, пов’язаних з соціальними виплатами.</w:t>
      </w:r>
    </w:p>
    <w:p w:rsidR="00205325" w:rsidRPr="00932F66" w:rsidRDefault="00205325" w:rsidP="00C90243">
      <w:pPr>
        <w:pStyle w:val="aa"/>
        <w:spacing w:line="276" w:lineRule="auto"/>
        <w:ind w:firstLine="709"/>
        <w:jc w:val="both"/>
      </w:pPr>
    </w:p>
    <w:p w:rsidR="00A57442" w:rsidRPr="00932F66" w:rsidRDefault="00B01C5D" w:rsidP="00C90243">
      <w:pPr>
        <w:pStyle w:val="aa"/>
        <w:spacing w:line="276" w:lineRule="auto"/>
        <w:ind w:firstLine="709"/>
        <w:jc w:val="both"/>
        <w:rPr>
          <w:b w:val="0"/>
          <w:u w:val="single"/>
        </w:rPr>
      </w:pPr>
      <w:r w:rsidRPr="00932F66">
        <w:rPr>
          <w:b w:val="0"/>
          <w:u w:val="single"/>
        </w:rPr>
        <w:t>Упродовж 2018</w:t>
      </w:r>
      <w:r w:rsidR="00A57442" w:rsidRPr="00932F66">
        <w:rPr>
          <w:b w:val="0"/>
          <w:u w:val="single"/>
        </w:rPr>
        <w:t xml:space="preserve"> року надійшло справ та матеріалів:</w:t>
      </w:r>
    </w:p>
    <w:p w:rsidR="00A57442" w:rsidRPr="00932F66" w:rsidRDefault="00A57442" w:rsidP="00C90243">
      <w:pPr>
        <w:pStyle w:val="aa"/>
        <w:spacing w:line="276" w:lineRule="auto"/>
        <w:ind w:firstLine="709"/>
        <w:jc w:val="both"/>
        <w:rPr>
          <w:b w:val="0"/>
        </w:rPr>
      </w:pPr>
      <w:r w:rsidRPr="00932F66">
        <w:rPr>
          <w:b w:val="0"/>
        </w:rPr>
        <w:t xml:space="preserve">- з окружних адміністративних судів – </w:t>
      </w:r>
      <w:r w:rsidR="002E6FF8" w:rsidRPr="00932F66">
        <w:t>4723</w:t>
      </w:r>
      <w:r w:rsidRPr="00932F66">
        <w:rPr>
          <w:b w:val="0"/>
        </w:rPr>
        <w:t xml:space="preserve">, що в структурі надходження складає </w:t>
      </w:r>
      <w:r w:rsidR="00013E39" w:rsidRPr="00932F66">
        <w:t>63,0</w:t>
      </w:r>
      <w:r w:rsidRPr="00932F66">
        <w:rPr>
          <w:b w:val="0"/>
        </w:rPr>
        <w:t>%;</w:t>
      </w:r>
    </w:p>
    <w:p w:rsidR="00A57442" w:rsidRPr="00932F66" w:rsidRDefault="00A57442" w:rsidP="00C90243">
      <w:pPr>
        <w:pStyle w:val="aa"/>
        <w:spacing w:line="276" w:lineRule="auto"/>
        <w:ind w:firstLine="709"/>
        <w:jc w:val="both"/>
        <w:rPr>
          <w:b w:val="0"/>
        </w:rPr>
      </w:pPr>
      <w:r w:rsidRPr="00932F66">
        <w:rPr>
          <w:b w:val="0"/>
        </w:rPr>
        <w:t xml:space="preserve">- з місцевих загальних судів – </w:t>
      </w:r>
      <w:r w:rsidR="00013E39" w:rsidRPr="00932F66">
        <w:t>2782</w:t>
      </w:r>
      <w:r w:rsidRPr="00932F66">
        <w:rPr>
          <w:b w:val="0"/>
        </w:rPr>
        <w:t xml:space="preserve">, що становить </w:t>
      </w:r>
      <w:r w:rsidR="00013E39" w:rsidRPr="00932F66">
        <w:t>37,0</w:t>
      </w:r>
      <w:r w:rsidRPr="00932F66">
        <w:rPr>
          <w:b w:val="0"/>
        </w:rPr>
        <w:t xml:space="preserve">% серед загальної кількості надходжень до </w:t>
      </w:r>
      <w:r w:rsidR="00013E39" w:rsidRPr="00932F66">
        <w:rPr>
          <w:b w:val="0"/>
        </w:rPr>
        <w:t>ЛААС</w:t>
      </w:r>
      <w:r w:rsidRPr="00932F66">
        <w:rPr>
          <w:b w:val="0"/>
        </w:rPr>
        <w:t>.</w:t>
      </w:r>
    </w:p>
    <w:p w:rsidR="00A57442" w:rsidRPr="00932F66" w:rsidRDefault="00A57442" w:rsidP="00C90243">
      <w:pPr>
        <w:pStyle w:val="aa"/>
        <w:spacing w:line="276" w:lineRule="auto"/>
        <w:ind w:firstLine="709"/>
        <w:jc w:val="both"/>
        <w:rPr>
          <w:b w:val="0"/>
        </w:rPr>
      </w:pPr>
      <w:r w:rsidRPr="00932F66">
        <w:rPr>
          <w:b w:val="0"/>
        </w:rPr>
        <w:t xml:space="preserve">Як бачимо, у звітному періоді структура надходжень апеляційних скарг суттєво зросла у бік </w:t>
      </w:r>
      <w:r w:rsidR="00013E39" w:rsidRPr="00932F66">
        <w:rPr>
          <w:b w:val="0"/>
        </w:rPr>
        <w:t>окружних</w:t>
      </w:r>
      <w:r w:rsidRPr="00932F66">
        <w:rPr>
          <w:b w:val="0"/>
        </w:rPr>
        <w:t xml:space="preserve"> адміністративних судів</w:t>
      </w:r>
      <w:r w:rsidR="00570A7F" w:rsidRPr="00932F66">
        <w:rPr>
          <w:b w:val="0"/>
        </w:rPr>
        <w:t>, де переважна кількість – це справи зі спорів з приводу загальнообов’язкового пенсійного страхування та адміністрування податків, зборів, платежів, а також контролю за дотриманням вимог податкового законодавства.</w:t>
      </w:r>
    </w:p>
    <w:p w:rsidR="00A57442" w:rsidRPr="00932F66" w:rsidRDefault="005B03CE" w:rsidP="00C90243">
      <w:pPr>
        <w:pStyle w:val="aa"/>
        <w:spacing w:line="276" w:lineRule="auto"/>
        <w:ind w:firstLine="709"/>
        <w:jc w:val="both"/>
      </w:pPr>
      <w:r w:rsidRPr="00932F66">
        <w:t>Таблиця 2</w:t>
      </w:r>
    </w:p>
    <w:p w:rsidR="00A57442" w:rsidRPr="00932F66" w:rsidRDefault="00A57442" w:rsidP="00C90243">
      <w:pPr>
        <w:pStyle w:val="aa"/>
        <w:spacing w:line="276" w:lineRule="auto"/>
        <w:ind w:firstLine="709"/>
      </w:pPr>
      <w:r w:rsidRPr="00932F66">
        <w:t xml:space="preserve">Показники справ та матеріалів, які перебували на розгляді </w:t>
      </w:r>
    </w:p>
    <w:p w:rsidR="00A57442" w:rsidRPr="00932F66" w:rsidRDefault="00A57442" w:rsidP="00C90243">
      <w:pPr>
        <w:pStyle w:val="aa"/>
        <w:spacing w:line="276" w:lineRule="auto"/>
        <w:ind w:firstLine="709"/>
      </w:pPr>
      <w:r w:rsidRPr="00932F66">
        <w:t>у Львівському апеляційному адміністративному суді</w:t>
      </w:r>
    </w:p>
    <w:p w:rsidR="00A57442" w:rsidRPr="00932F66" w:rsidRDefault="00A57442" w:rsidP="00C90243">
      <w:pPr>
        <w:pStyle w:val="aa"/>
        <w:spacing w:line="276" w:lineRule="auto"/>
        <w:ind w:firstLine="709"/>
      </w:pPr>
      <w:r w:rsidRPr="00932F66">
        <w:t>упродовж 2007</w:t>
      </w:r>
      <w:r w:rsidR="00273443" w:rsidRPr="00932F66">
        <w:t>- 2018</w:t>
      </w:r>
      <w:r w:rsidRPr="00932F66">
        <w:t xml:space="preserve"> років</w:t>
      </w:r>
    </w:p>
    <w:p w:rsidR="005B03CE" w:rsidRPr="00932F66" w:rsidRDefault="005B03CE" w:rsidP="00C90243">
      <w:pPr>
        <w:pStyle w:val="aa"/>
        <w:spacing w:line="276" w:lineRule="auto"/>
        <w:ind w:firstLine="709"/>
        <w:rPr>
          <w:b w:val="0"/>
        </w:rPr>
      </w:pPr>
    </w:p>
    <w:tbl>
      <w:tblPr>
        <w:tblW w:w="10080" w:type="dxa"/>
        <w:tblInd w:w="93" w:type="dxa"/>
        <w:tblLayout w:type="fixed"/>
        <w:tblLook w:val="04A0"/>
      </w:tblPr>
      <w:tblGrid>
        <w:gridCol w:w="1008"/>
        <w:gridCol w:w="1354"/>
        <w:gridCol w:w="1354"/>
        <w:gridCol w:w="1403"/>
        <w:gridCol w:w="1417"/>
        <w:gridCol w:w="1318"/>
        <w:gridCol w:w="1092"/>
        <w:gridCol w:w="1134"/>
      </w:tblGrid>
      <w:tr w:rsidR="00A57442" w:rsidRPr="00932F66" w:rsidTr="00D32167">
        <w:trPr>
          <w:trHeight w:val="1695"/>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firstLine="49"/>
              <w:jc w:val="center"/>
              <w:rPr>
                <w:sz w:val="20"/>
                <w:szCs w:val="20"/>
                <w:lang w:val="uk-UA"/>
              </w:rPr>
            </w:pPr>
            <w:r w:rsidRPr="00932F66">
              <w:rPr>
                <w:sz w:val="20"/>
                <w:szCs w:val="20"/>
                <w:lang w:val="uk-UA"/>
              </w:rPr>
              <w:t>Період</w:t>
            </w:r>
          </w:p>
        </w:tc>
        <w:tc>
          <w:tcPr>
            <w:tcW w:w="13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firstLine="49"/>
              <w:jc w:val="center"/>
              <w:rPr>
                <w:sz w:val="20"/>
                <w:szCs w:val="20"/>
                <w:lang w:val="uk-UA"/>
              </w:rPr>
            </w:pPr>
            <w:r w:rsidRPr="00932F66">
              <w:rPr>
                <w:sz w:val="20"/>
                <w:szCs w:val="20"/>
                <w:lang w:val="uk-UA"/>
              </w:rPr>
              <w:t>Перебувало апеляційних скарг</w:t>
            </w:r>
          </w:p>
        </w:tc>
        <w:tc>
          <w:tcPr>
            <w:tcW w:w="135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firstLine="49"/>
              <w:jc w:val="center"/>
              <w:rPr>
                <w:sz w:val="20"/>
                <w:szCs w:val="20"/>
                <w:lang w:val="uk-UA"/>
              </w:rPr>
            </w:pPr>
            <w:r w:rsidRPr="00932F66">
              <w:rPr>
                <w:sz w:val="20"/>
                <w:szCs w:val="20"/>
                <w:lang w:val="uk-UA"/>
              </w:rPr>
              <w:t>Перебувало позовних заяв\ справ</w:t>
            </w:r>
          </w:p>
        </w:tc>
        <w:tc>
          <w:tcPr>
            <w:tcW w:w="14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firstLine="49"/>
              <w:jc w:val="center"/>
              <w:rPr>
                <w:sz w:val="20"/>
                <w:szCs w:val="20"/>
                <w:lang w:val="uk-UA"/>
              </w:rPr>
            </w:pPr>
            <w:r w:rsidRPr="00932F66">
              <w:rPr>
                <w:sz w:val="20"/>
                <w:szCs w:val="20"/>
                <w:lang w:val="uk-UA"/>
              </w:rPr>
              <w:t>Перебувало заяв про перегляд судового рішення за ново- виявленими обставинами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firstLine="49"/>
              <w:jc w:val="center"/>
              <w:rPr>
                <w:sz w:val="20"/>
                <w:szCs w:val="20"/>
                <w:lang w:val="uk-UA"/>
              </w:rPr>
            </w:pPr>
            <w:r w:rsidRPr="00932F66">
              <w:rPr>
                <w:sz w:val="20"/>
                <w:szCs w:val="20"/>
                <w:lang w:val="uk-UA"/>
              </w:rPr>
              <w:t>Відновлення втраченого провадження</w:t>
            </w:r>
          </w:p>
        </w:tc>
        <w:tc>
          <w:tcPr>
            <w:tcW w:w="13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firstLine="49"/>
              <w:jc w:val="center"/>
              <w:rPr>
                <w:sz w:val="20"/>
                <w:szCs w:val="20"/>
                <w:lang w:val="uk-UA"/>
              </w:rPr>
            </w:pPr>
            <w:r w:rsidRPr="00932F66">
              <w:rPr>
                <w:sz w:val="20"/>
                <w:szCs w:val="20"/>
                <w:lang w:val="uk-UA"/>
              </w:rPr>
              <w:t>ВСЬОГО перебувало справ та матеріалів</w:t>
            </w:r>
          </w:p>
        </w:tc>
        <w:tc>
          <w:tcPr>
            <w:tcW w:w="2226" w:type="dxa"/>
            <w:gridSpan w:val="2"/>
            <w:tcBorders>
              <w:top w:val="single" w:sz="8" w:space="0" w:color="auto"/>
              <w:left w:val="nil"/>
              <w:bottom w:val="single" w:sz="8" w:space="0" w:color="auto"/>
              <w:right w:val="single" w:sz="8" w:space="0" w:color="000000"/>
            </w:tcBorders>
            <w:shd w:val="clear" w:color="auto" w:fill="auto"/>
            <w:hideMark/>
          </w:tcPr>
          <w:p w:rsidR="00A57442" w:rsidRPr="00932F66" w:rsidRDefault="00A57442" w:rsidP="00D32167">
            <w:pPr>
              <w:spacing w:line="276" w:lineRule="auto"/>
              <w:ind w:firstLine="49"/>
              <w:jc w:val="center"/>
              <w:rPr>
                <w:lang w:val="uk-UA"/>
              </w:rPr>
            </w:pPr>
            <w:r w:rsidRPr="00932F66">
              <w:rPr>
                <w:sz w:val="22"/>
                <w:szCs w:val="22"/>
                <w:lang w:val="uk-UA"/>
              </w:rPr>
              <w:t>Динаміка справ та матеріалів, які перебували на розгляді (по відношенню по попереднього рядка)</w:t>
            </w:r>
          </w:p>
        </w:tc>
      </w:tr>
      <w:tr w:rsidR="00A57442" w:rsidRPr="00932F66" w:rsidTr="00205325">
        <w:trPr>
          <w:trHeight w:val="60"/>
        </w:trPr>
        <w:tc>
          <w:tcPr>
            <w:tcW w:w="1008"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firstLine="49"/>
              <w:rPr>
                <w:lang w:val="uk-UA"/>
              </w:rPr>
            </w:pPr>
          </w:p>
        </w:tc>
        <w:tc>
          <w:tcPr>
            <w:tcW w:w="1354"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firstLine="49"/>
              <w:rPr>
                <w:lang w:val="uk-UA"/>
              </w:rPr>
            </w:pPr>
          </w:p>
        </w:tc>
        <w:tc>
          <w:tcPr>
            <w:tcW w:w="1354"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firstLine="49"/>
              <w:rPr>
                <w:lang w:val="uk-UA"/>
              </w:rPr>
            </w:pPr>
          </w:p>
        </w:tc>
        <w:tc>
          <w:tcPr>
            <w:tcW w:w="1403"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firstLine="49"/>
              <w:rPr>
                <w:lang w:val="uk-UA"/>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firstLine="49"/>
              <w:rPr>
                <w:lang w:val="uk-UA"/>
              </w:rPr>
            </w:pPr>
          </w:p>
        </w:tc>
        <w:tc>
          <w:tcPr>
            <w:tcW w:w="1318"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firstLine="49"/>
              <w:rPr>
                <w:lang w:val="uk-UA"/>
              </w:rPr>
            </w:pPr>
          </w:p>
        </w:tc>
        <w:tc>
          <w:tcPr>
            <w:tcW w:w="1092"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49"/>
              <w:jc w:val="center"/>
              <w:rPr>
                <w:lang w:val="uk-UA"/>
              </w:rPr>
            </w:pPr>
            <w:r w:rsidRPr="00932F66">
              <w:rPr>
                <w:sz w:val="22"/>
                <w:szCs w:val="22"/>
                <w:lang w:val="uk-UA"/>
              </w:rPr>
              <w:t>абс.</w:t>
            </w:r>
          </w:p>
        </w:tc>
        <w:tc>
          <w:tcPr>
            <w:tcW w:w="1134"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49"/>
              <w:jc w:val="center"/>
              <w:rPr>
                <w:lang w:val="uk-UA"/>
              </w:rPr>
            </w:pPr>
            <w:r w:rsidRPr="00932F66">
              <w:rPr>
                <w:sz w:val="22"/>
                <w:szCs w:val="22"/>
                <w:lang w:val="uk-UA"/>
              </w:rPr>
              <w:t>%</w:t>
            </w:r>
          </w:p>
        </w:tc>
      </w:tr>
      <w:tr w:rsidR="00A57442"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49"/>
              <w:jc w:val="center"/>
              <w:rPr>
                <w:lang w:val="uk-UA"/>
              </w:rPr>
            </w:pPr>
            <w:r w:rsidRPr="00932F66">
              <w:rPr>
                <w:sz w:val="22"/>
                <w:szCs w:val="22"/>
                <w:lang w:val="uk-UA"/>
              </w:rPr>
              <w:t>А</w:t>
            </w:r>
          </w:p>
        </w:tc>
        <w:tc>
          <w:tcPr>
            <w:tcW w:w="1354"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49"/>
              <w:jc w:val="center"/>
              <w:rPr>
                <w:lang w:val="uk-UA"/>
              </w:rPr>
            </w:pPr>
            <w:r w:rsidRPr="00932F66">
              <w:rPr>
                <w:sz w:val="22"/>
                <w:szCs w:val="22"/>
                <w:lang w:val="uk-UA"/>
              </w:rPr>
              <w:t>1</w:t>
            </w:r>
          </w:p>
        </w:tc>
        <w:tc>
          <w:tcPr>
            <w:tcW w:w="1354"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49"/>
              <w:jc w:val="center"/>
              <w:rPr>
                <w:lang w:val="uk-UA"/>
              </w:rPr>
            </w:pPr>
            <w:r w:rsidRPr="00932F66">
              <w:rPr>
                <w:sz w:val="22"/>
                <w:szCs w:val="22"/>
                <w:lang w:val="uk-UA"/>
              </w:rPr>
              <w:t>2</w:t>
            </w:r>
          </w:p>
        </w:tc>
        <w:tc>
          <w:tcPr>
            <w:tcW w:w="1403"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49"/>
              <w:jc w:val="center"/>
              <w:rPr>
                <w:lang w:val="uk-UA"/>
              </w:rPr>
            </w:pPr>
            <w:r w:rsidRPr="00932F66">
              <w:rPr>
                <w:sz w:val="22"/>
                <w:szCs w:val="22"/>
                <w:lang w:val="uk-UA"/>
              </w:rPr>
              <w:t>3</w:t>
            </w:r>
          </w:p>
        </w:tc>
        <w:tc>
          <w:tcPr>
            <w:tcW w:w="1417"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49"/>
              <w:jc w:val="center"/>
              <w:rPr>
                <w:lang w:val="uk-UA"/>
              </w:rPr>
            </w:pPr>
            <w:r w:rsidRPr="00932F66">
              <w:rPr>
                <w:sz w:val="22"/>
                <w:szCs w:val="22"/>
                <w:lang w:val="uk-UA"/>
              </w:rPr>
              <w:t>4</w:t>
            </w:r>
          </w:p>
        </w:tc>
        <w:tc>
          <w:tcPr>
            <w:tcW w:w="1318"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49"/>
              <w:jc w:val="center"/>
              <w:rPr>
                <w:lang w:val="uk-UA"/>
              </w:rPr>
            </w:pPr>
            <w:r w:rsidRPr="00932F66">
              <w:rPr>
                <w:sz w:val="22"/>
                <w:szCs w:val="22"/>
                <w:lang w:val="uk-UA"/>
              </w:rPr>
              <w:t>5</w:t>
            </w:r>
          </w:p>
        </w:tc>
        <w:tc>
          <w:tcPr>
            <w:tcW w:w="1092"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49"/>
              <w:jc w:val="center"/>
              <w:rPr>
                <w:lang w:val="uk-UA"/>
              </w:rPr>
            </w:pPr>
            <w:r w:rsidRPr="00932F66">
              <w:rPr>
                <w:sz w:val="22"/>
                <w:szCs w:val="22"/>
                <w:lang w:val="uk-UA"/>
              </w:rPr>
              <w:t>6</w:t>
            </w:r>
          </w:p>
        </w:tc>
        <w:tc>
          <w:tcPr>
            <w:tcW w:w="1134"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49"/>
              <w:jc w:val="center"/>
              <w:rPr>
                <w:lang w:val="uk-UA"/>
              </w:rPr>
            </w:pPr>
            <w:r w:rsidRPr="00932F66">
              <w:rPr>
                <w:sz w:val="22"/>
                <w:szCs w:val="22"/>
                <w:lang w:val="uk-UA"/>
              </w:rPr>
              <w:t>7</w:t>
            </w:r>
          </w:p>
        </w:tc>
      </w:tr>
      <w:tr w:rsidR="00A57442"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sz w:val="20"/>
                <w:szCs w:val="20"/>
                <w:lang w:val="uk-UA"/>
              </w:rPr>
            </w:pPr>
            <w:r w:rsidRPr="00932F66">
              <w:rPr>
                <w:sz w:val="20"/>
                <w:szCs w:val="20"/>
                <w:lang w:val="uk-UA"/>
              </w:rPr>
              <w:t>2007 рік</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7 166</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403"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22</w:t>
            </w:r>
          </w:p>
        </w:tc>
        <w:tc>
          <w:tcPr>
            <w:tcW w:w="141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318"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7 188</w:t>
            </w:r>
          </w:p>
        </w:tc>
        <w:tc>
          <w:tcPr>
            <w:tcW w:w="10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13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r>
      <w:tr w:rsidR="00A57442"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sz w:val="20"/>
                <w:szCs w:val="20"/>
                <w:lang w:val="uk-UA"/>
              </w:rPr>
            </w:pPr>
            <w:r w:rsidRPr="00932F66">
              <w:rPr>
                <w:sz w:val="20"/>
                <w:szCs w:val="20"/>
                <w:lang w:val="uk-UA"/>
              </w:rPr>
              <w:t>2008 рік</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19 545</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403"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43</w:t>
            </w:r>
          </w:p>
        </w:tc>
        <w:tc>
          <w:tcPr>
            <w:tcW w:w="141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318"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19 588</w:t>
            </w:r>
          </w:p>
        </w:tc>
        <w:tc>
          <w:tcPr>
            <w:tcW w:w="10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12 400</w:t>
            </w:r>
          </w:p>
        </w:tc>
        <w:tc>
          <w:tcPr>
            <w:tcW w:w="113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172,5%</w:t>
            </w:r>
          </w:p>
        </w:tc>
      </w:tr>
      <w:tr w:rsidR="00A57442"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sz w:val="20"/>
                <w:szCs w:val="20"/>
                <w:lang w:val="uk-UA"/>
              </w:rPr>
            </w:pPr>
            <w:r w:rsidRPr="00932F66">
              <w:rPr>
                <w:sz w:val="20"/>
                <w:szCs w:val="20"/>
                <w:lang w:val="uk-UA"/>
              </w:rPr>
              <w:t>2009 рік</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103 743</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403"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36</w:t>
            </w:r>
          </w:p>
        </w:tc>
        <w:tc>
          <w:tcPr>
            <w:tcW w:w="141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318"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103 779</w:t>
            </w:r>
          </w:p>
        </w:tc>
        <w:tc>
          <w:tcPr>
            <w:tcW w:w="10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84 191</w:t>
            </w:r>
          </w:p>
        </w:tc>
        <w:tc>
          <w:tcPr>
            <w:tcW w:w="113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429,8%</w:t>
            </w:r>
          </w:p>
        </w:tc>
      </w:tr>
      <w:tr w:rsidR="00A57442"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sz w:val="20"/>
                <w:szCs w:val="20"/>
                <w:lang w:val="uk-UA"/>
              </w:rPr>
            </w:pPr>
            <w:r w:rsidRPr="00932F66">
              <w:rPr>
                <w:sz w:val="20"/>
                <w:szCs w:val="20"/>
                <w:lang w:val="uk-UA"/>
              </w:rPr>
              <w:t>2010 рік</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121 467</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13</w:t>
            </w:r>
          </w:p>
        </w:tc>
        <w:tc>
          <w:tcPr>
            <w:tcW w:w="1403"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62</w:t>
            </w:r>
          </w:p>
        </w:tc>
        <w:tc>
          <w:tcPr>
            <w:tcW w:w="141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318"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121 542</w:t>
            </w:r>
          </w:p>
        </w:tc>
        <w:tc>
          <w:tcPr>
            <w:tcW w:w="10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17 763</w:t>
            </w:r>
          </w:p>
        </w:tc>
        <w:tc>
          <w:tcPr>
            <w:tcW w:w="113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17,1%</w:t>
            </w:r>
          </w:p>
        </w:tc>
      </w:tr>
      <w:tr w:rsidR="00A57442"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sz w:val="20"/>
                <w:szCs w:val="20"/>
                <w:lang w:val="uk-UA"/>
              </w:rPr>
            </w:pPr>
            <w:r w:rsidRPr="00932F66">
              <w:rPr>
                <w:sz w:val="20"/>
                <w:szCs w:val="20"/>
                <w:lang w:val="uk-UA"/>
              </w:rPr>
              <w:t>2011 рік</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222 082</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12</w:t>
            </w:r>
          </w:p>
        </w:tc>
        <w:tc>
          <w:tcPr>
            <w:tcW w:w="1403"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68</w:t>
            </w:r>
          </w:p>
        </w:tc>
        <w:tc>
          <w:tcPr>
            <w:tcW w:w="141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318"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222 162</w:t>
            </w:r>
          </w:p>
        </w:tc>
        <w:tc>
          <w:tcPr>
            <w:tcW w:w="10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100 620</w:t>
            </w:r>
          </w:p>
        </w:tc>
        <w:tc>
          <w:tcPr>
            <w:tcW w:w="113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82,8%</w:t>
            </w:r>
          </w:p>
        </w:tc>
      </w:tr>
      <w:tr w:rsidR="00A57442"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sz w:val="20"/>
                <w:szCs w:val="20"/>
                <w:lang w:val="uk-UA"/>
              </w:rPr>
            </w:pPr>
            <w:r w:rsidRPr="00932F66">
              <w:rPr>
                <w:sz w:val="20"/>
                <w:szCs w:val="20"/>
                <w:lang w:val="uk-UA"/>
              </w:rPr>
              <w:t>2012 рік</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325 595</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8</w:t>
            </w:r>
          </w:p>
        </w:tc>
        <w:tc>
          <w:tcPr>
            <w:tcW w:w="1403"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140</w:t>
            </w:r>
          </w:p>
        </w:tc>
        <w:tc>
          <w:tcPr>
            <w:tcW w:w="141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318"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325 743</w:t>
            </w:r>
          </w:p>
        </w:tc>
        <w:tc>
          <w:tcPr>
            <w:tcW w:w="10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103 581</w:t>
            </w:r>
          </w:p>
        </w:tc>
        <w:tc>
          <w:tcPr>
            <w:tcW w:w="113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46,6%</w:t>
            </w:r>
          </w:p>
        </w:tc>
      </w:tr>
      <w:tr w:rsidR="00A57442"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sz w:val="20"/>
                <w:szCs w:val="20"/>
                <w:lang w:val="uk-UA"/>
              </w:rPr>
            </w:pPr>
            <w:r w:rsidRPr="00932F66">
              <w:rPr>
                <w:sz w:val="20"/>
                <w:szCs w:val="20"/>
                <w:lang w:val="uk-UA"/>
              </w:rPr>
              <w:t>2013 рік</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203 677</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2</w:t>
            </w:r>
          </w:p>
        </w:tc>
        <w:tc>
          <w:tcPr>
            <w:tcW w:w="1403"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85</w:t>
            </w:r>
          </w:p>
        </w:tc>
        <w:tc>
          <w:tcPr>
            <w:tcW w:w="141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318"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203 764</w:t>
            </w:r>
          </w:p>
        </w:tc>
        <w:tc>
          <w:tcPr>
            <w:tcW w:w="10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-121 979</w:t>
            </w:r>
          </w:p>
        </w:tc>
        <w:tc>
          <w:tcPr>
            <w:tcW w:w="113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-37,4%</w:t>
            </w:r>
          </w:p>
        </w:tc>
      </w:tr>
      <w:tr w:rsidR="00A57442"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sz w:val="20"/>
                <w:szCs w:val="20"/>
                <w:lang w:val="uk-UA"/>
              </w:rPr>
            </w:pPr>
            <w:r w:rsidRPr="00932F66">
              <w:rPr>
                <w:sz w:val="20"/>
                <w:szCs w:val="20"/>
                <w:lang w:val="uk-UA"/>
              </w:rPr>
              <w:t>2014 рік</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63 312</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w:t>
            </w:r>
          </w:p>
        </w:tc>
        <w:tc>
          <w:tcPr>
            <w:tcW w:w="1403"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71</w:t>
            </w:r>
          </w:p>
        </w:tc>
        <w:tc>
          <w:tcPr>
            <w:tcW w:w="141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318"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63 384</w:t>
            </w:r>
          </w:p>
        </w:tc>
        <w:tc>
          <w:tcPr>
            <w:tcW w:w="10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-140 380</w:t>
            </w:r>
          </w:p>
        </w:tc>
        <w:tc>
          <w:tcPr>
            <w:tcW w:w="113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-68,9%</w:t>
            </w:r>
          </w:p>
        </w:tc>
      </w:tr>
      <w:tr w:rsidR="00A57442"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sz w:val="20"/>
                <w:szCs w:val="20"/>
                <w:lang w:val="uk-UA"/>
              </w:rPr>
            </w:pPr>
            <w:r w:rsidRPr="00932F66">
              <w:rPr>
                <w:sz w:val="20"/>
                <w:szCs w:val="20"/>
                <w:lang w:val="uk-UA"/>
              </w:rPr>
              <w:t>2015 рік</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22 599</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w:t>
            </w:r>
          </w:p>
        </w:tc>
        <w:tc>
          <w:tcPr>
            <w:tcW w:w="1403"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65</w:t>
            </w:r>
          </w:p>
        </w:tc>
        <w:tc>
          <w:tcPr>
            <w:tcW w:w="141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318"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22 665</w:t>
            </w:r>
          </w:p>
        </w:tc>
        <w:tc>
          <w:tcPr>
            <w:tcW w:w="10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-40 719</w:t>
            </w:r>
          </w:p>
        </w:tc>
        <w:tc>
          <w:tcPr>
            <w:tcW w:w="113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-64,2%</w:t>
            </w:r>
          </w:p>
        </w:tc>
      </w:tr>
      <w:tr w:rsidR="00A57442"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sz w:val="20"/>
                <w:szCs w:val="20"/>
                <w:lang w:val="uk-UA"/>
              </w:rPr>
            </w:pPr>
            <w:r w:rsidRPr="00932F66">
              <w:rPr>
                <w:sz w:val="20"/>
                <w:szCs w:val="20"/>
                <w:lang w:val="uk-UA"/>
              </w:rPr>
              <w:t>2016 рік</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14 541</w:t>
            </w:r>
          </w:p>
        </w:tc>
        <w:tc>
          <w:tcPr>
            <w:tcW w:w="135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4</w:t>
            </w:r>
          </w:p>
        </w:tc>
        <w:tc>
          <w:tcPr>
            <w:tcW w:w="1403"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39</w:t>
            </w:r>
          </w:p>
        </w:tc>
        <w:tc>
          <w:tcPr>
            <w:tcW w:w="141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 </w:t>
            </w:r>
          </w:p>
        </w:tc>
        <w:tc>
          <w:tcPr>
            <w:tcW w:w="1318"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14 584</w:t>
            </w:r>
          </w:p>
        </w:tc>
        <w:tc>
          <w:tcPr>
            <w:tcW w:w="10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-8 081</w:t>
            </w:r>
          </w:p>
        </w:tc>
        <w:tc>
          <w:tcPr>
            <w:tcW w:w="113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-35,7%</w:t>
            </w:r>
          </w:p>
        </w:tc>
      </w:tr>
      <w:tr w:rsidR="00A57442" w:rsidRPr="00932F66" w:rsidTr="00205325">
        <w:trPr>
          <w:trHeight w:val="390"/>
        </w:trPr>
        <w:tc>
          <w:tcPr>
            <w:tcW w:w="1008" w:type="dxa"/>
            <w:tcBorders>
              <w:top w:val="nil"/>
              <w:left w:val="single" w:sz="8" w:space="0" w:color="auto"/>
              <w:bottom w:val="single" w:sz="4" w:space="0" w:color="auto"/>
              <w:right w:val="single" w:sz="8" w:space="0" w:color="auto"/>
            </w:tcBorders>
            <w:shd w:val="clear" w:color="auto" w:fill="auto"/>
            <w:vAlign w:val="center"/>
            <w:hideMark/>
          </w:tcPr>
          <w:p w:rsidR="00A57442" w:rsidRPr="00932F66" w:rsidRDefault="00A57442" w:rsidP="00C90243">
            <w:pPr>
              <w:spacing w:line="276" w:lineRule="auto"/>
              <w:ind w:firstLine="49"/>
              <w:jc w:val="center"/>
              <w:rPr>
                <w:sz w:val="20"/>
                <w:szCs w:val="20"/>
                <w:lang w:val="uk-UA"/>
              </w:rPr>
            </w:pPr>
            <w:r w:rsidRPr="00932F66">
              <w:rPr>
                <w:sz w:val="20"/>
                <w:szCs w:val="20"/>
                <w:lang w:val="uk-UA"/>
              </w:rPr>
              <w:t>2017 рік</w:t>
            </w:r>
          </w:p>
        </w:tc>
        <w:tc>
          <w:tcPr>
            <w:tcW w:w="1354" w:type="dxa"/>
            <w:tcBorders>
              <w:top w:val="nil"/>
              <w:left w:val="nil"/>
              <w:bottom w:val="single" w:sz="4" w:space="0" w:color="auto"/>
              <w:right w:val="single" w:sz="8" w:space="0" w:color="auto"/>
            </w:tcBorders>
            <w:shd w:val="clear" w:color="auto" w:fill="auto"/>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14 899</w:t>
            </w:r>
          </w:p>
        </w:tc>
        <w:tc>
          <w:tcPr>
            <w:tcW w:w="1354" w:type="dxa"/>
            <w:tcBorders>
              <w:top w:val="nil"/>
              <w:left w:val="nil"/>
              <w:bottom w:val="single" w:sz="4" w:space="0" w:color="auto"/>
              <w:right w:val="single" w:sz="8" w:space="0" w:color="auto"/>
            </w:tcBorders>
            <w:shd w:val="clear" w:color="auto" w:fill="auto"/>
            <w:vAlign w:val="center"/>
            <w:hideMark/>
          </w:tcPr>
          <w:p w:rsidR="00A57442" w:rsidRPr="00932F66" w:rsidRDefault="00A57442" w:rsidP="00C90243">
            <w:pPr>
              <w:spacing w:line="276" w:lineRule="auto"/>
              <w:ind w:firstLine="49"/>
              <w:jc w:val="center"/>
              <w:rPr>
                <w:lang w:val="uk-UA"/>
              </w:rPr>
            </w:pPr>
            <w:r w:rsidRPr="00932F66">
              <w:rPr>
                <w:sz w:val="22"/>
                <w:szCs w:val="22"/>
                <w:lang w:val="uk-UA"/>
              </w:rPr>
              <w:t>52</w:t>
            </w:r>
          </w:p>
        </w:tc>
        <w:tc>
          <w:tcPr>
            <w:tcW w:w="1403" w:type="dxa"/>
            <w:tcBorders>
              <w:top w:val="nil"/>
              <w:left w:val="nil"/>
              <w:bottom w:val="single" w:sz="4" w:space="0" w:color="auto"/>
              <w:right w:val="single" w:sz="8" w:space="0" w:color="auto"/>
            </w:tcBorders>
            <w:shd w:val="clear" w:color="auto" w:fill="auto"/>
            <w:vAlign w:val="center"/>
            <w:hideMark/>
          </w:tcPr>
          <w:p w:rsidR="00A57442" w:rsidRPr="00932F66" w:rsidRDefault="00A57442" w:rsidP="00C90243">
            <w:pPr>
              <w:spacing w:line="276" w:lineRule="auto"/>
              <w:ind w:firstLine="49"/>
              <w:jc w:val="center"/>
              <w:rPr>
                <w:lang w:val="uk-UA"/>
              </w:rPr>
            </w:pPr>
            <w:r w:rsidRPr="00932F66">
              <w:rPr>
                <w:sz w:val="22"/>
                <w:szCs w:val="22"/>
                <w:lang w:val="uk-UA"/>
              </w:rPr>
              <w:t>31</w:t>
            </w:r>
          </w:p>
        </w:tc>
        <w:tc>
          <w:tcPr>
            <w:tcW w:w="1417" w:type="dxa"/>
            <w:tcBorders>
              <w:top w:val="nil"/>
              <w:left w:val="nil"/>
              <w:bottom w:val="single" w:sz="4" w:space="0" w:color="auto"/>
              <w:right w:val="single" w:sz="8" w:space="0" w:color="auto"/>
            </w:tcBorders>
            <w:shd w:val="clear" w:color="auto" w:fill="auto"/>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w:t>
            </w:r>
          </w:p>
        </w:tc>
        <w:tc>
          <w:tcPr>
            <w:tcW w:w="1318" w:type="dxa"/>
            <w:tcBorders>
              <w:top w:val="nil"/>
              <w:left w:val="nil"/>
              <w:bottom w:val="single" w:sz="4"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14 983</w:t>
            </w:r>
          </w:p>
        </w:tc>
        <w:tc>
          <w:tcPr>
            <w:tcW w:w="1092" w:type="dxa"/>
            <w:tcBorders>
              <w:top w:val="nil"/>
              <w:left w:val="nil"/>
              <w:bottom w:val="single" w:sz="4"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399</w:t>
            </w:r>
          </w:p>
        </w:tc>
        <w:tc>
          <w:tcPr>
            <w:tcW w:w="1134" w:type="dxa"/>
            <w:tcBorders>
              <w:top w:val="nil"/>
              <w:left w:val="nil"/>
              <w:bottom w:val="single" w:sz="4" w:space="0" w:color="auto"/>
              <w:right w:val="single" w:sz="8" w:space="0" w:color="auto"/>
            </w:tcBorders>
            <w:shd w:val="clear" w:color="auto" w:fill="auto"/>
            <w:noWrap/>
            <w:vAlign w:val="center"/>
            <w:hideMark/>
          </w:tcPr>
          <w:p w:rsidR="00A57442" w:rsidRPr="00932F66" w:rsidRDefault="00A57442" w:rsidP="00C90243">
            <w:pPr>
              <w:spacing w:line="276" w:lineRule="auto"/>
              <w:ind w:firstLine="49"/>
              <w:jc w:val="center"/>
              <w:rPr>
                <w:lang w:val="uk-UA"/>
              </w:rPr>
            </w:pPr>
            <w:r w:rsidRPr="00932F66">
              <w:rPr>
                <w:sz w:val="22"/>
                <w:szCs w:val="22"/>
                <w:lang w:val="uk-UA"/>
              </w:rPr>
              <w:t>2,7%</w:t>
            </w:r>
          </w:p>
        </w:tc>
      </w:tr>
      <w:tr w:rsidR="005B03CE" w:rsidRPr="00932F66" w:rsidTr="00205325">
        <w:trPr>
          <w:trHeight w:val="60"/>
        </w:trPr>
        <w:tc>
          <w:tcPr>
            <w:tcW w:w="1008" w:type="dxa"/>
            <w:tcBorders>
              <w:top w:val="single" w:sz="4" w:space="0" w:color="auto"/>
              <w:left w:val="single" w:sz="8" w:space="0" w:color="auto"/>
              <w:bottom w:val="nil"/>
              <w:right w:val="single" w:sz="8" w:space="0" w:color="auto"/>
            </w:tcBorders>
            <w:shd w:val="clear" w:color="auto" w:fill="auto"/>
            <w:vAlign w:val="center"/>
            <w:hideMark/>
          </w:tcPr>
          <w:p w:rsidR="005B03CE" w:rsidRPr="00932F66" w:rsidRDefault="005B03CE" w:rsidP="00C90243">
            <w:pPr>
              <w:spacing w:line="276" w:lineRule="auto"/>
              <w:ind w:firstLine="49"/>
              <w:jc w:val="center"/>
              <w:rPr>
                <w:sz w:val="20"/>
                <w:szCs w:val="20"/>
                <w:lang w:val="uk-UA"/>
              </w:rPr>
            </w:pPr>
          </w:p>
        </w:tc>
        <w:tc>
          <w:tcPr>
            <w:tcW w:w="1354" w:type="dxa"/>
            <w:tcBorders>
              <w:top w:val="single" w:sz="4" w:space="0" w:color="auto"/>
              <w:left w:val="nil"/>
              <w:bottom w:val="nil"/>
              <w:right w:val="single" w:sz="8" w:space="0" w:color="auto"/>
            </w:tcBorders>
            <w:shd w:val="clear" w:color="auto" w:fill="auto"/>
            <w:vAlign w:val="center"/>
            <w:hideMark/>
          </w:tcPr>
          <w:p w:rsidR="005B03CE" w:rsidRPr="00932F66" w:rsidRDefault="005B03CE" w:rsidP="00C90243">
            <w:pPr>
              <w:spacing w:line="276" w:lineRule="auto"/>
              <w:ind w:firstLine="49"/>
              <w:jc w:val="center"/>
              <w:rPr>
                <w:lang w:val="uk-UA"/>
              </w:rPr>
            </w:pPr>
          </w:p>
        </w:tc>
        <w:tc>
          <w:tcPr>
            <w:tcW w:w="1354" w:type="dxa"/>
            <w:tcBorders>
              <w:top w:val="single" w:sz="4" w:space="0" w:color="auto"/>
              <w:left w:val="nil"/>
              <w:bottom w:val="nil"/>
              <w:right w:val="single" w:sz="8" w:space="0" w:color="auto"/>
            </w:tcBorders>
            <w:shd w:val="clear" w:color="auto" w:fill="auto"/>
            <w:vAlign w:val="center"/>
            <w:hideMark/>
          </w:tcPr>
          <w:p w:rsidR="005B03CE" w:rsidRPr="00932F66" w:rsidRDefault="005B03CE" w:rsidP="00C90243">
            <w:pPr>
              <w:spacing w:line="276" w:lineRule="auto"/>
              <w:ind w:firstLine="49"/>
              <w:jc w:val="center"/>
              <w:rPr>
                <w:lang w:val="uk-UA"/>
              </w:rPr>
            </w:pPr>
          </w:p>
        </w:tc>
        <w:tc>
          <w:tcPr>
            <w:tcW w:w="1403" w:type="dxa"/>
            <w:tcBorders>
              <w:top w:val="single" w:sz="4" w:space="0" w:color="auto"/>
              <w:left w:val="nil"/>
              <w:bottom w:val="nil"/>
              <w:right w:val="single" w:sz="8" w:space="0" w:color="auto"/>
            </w:tcBorders>
            <w:shd w:val="clear" w:color="auto" w:fill="auto"/>
            <w:vAlign w:val="center"/>
            <w:hideMark/>
          </w:tcPr>
          <w:p w:rsidR="005B03CE" w:rsidRPr="00932F66" w:rsidRDefault="005B03CE" w:rsidP="00C90243">
            <w:pPr>
              <w:spacing w:line="276" w:lineRule="auto"/>
              <w:ind w:firstLine="49"/>
              <w:jc w:val="center"/>
              <w:rPr>
                <w:lang w:val="uk-UA"/>
              </w:rPr>
            </w:pPr>
          </w:p>
        </w:tc>
        <w:tc>
          <w:tcPr>
            <w:tcW w:w="1417" w:type="dxa"/>
            <w:tcBorders>
              <w:top w:val="single" w:sz="4" w:space="0" w:color="auto"/>
              <w:left w:val="nil"/>
              <w:bottom w:val="nil"/>
              <w:right w:val="single" w:sz="8" w:space="0" w:color="auto"/>
            </w:tcBorders>
            <w:shd w:val="clear" w:color="auto" w:fill="auto"/>
            <w:vAlign w:val="center"/>
            <w:hideMark/>
          </w:tcPr>
          <w:p w:rsidR="005B03CE" w:rsidRPr="00932F66" w:rsidRDefault="005B03CE" w:rsidP="00C90243">
            <w:pPr>
              <w:spacing w:line="276" w:lineRule="auto"/>
              <w:ind w:firstLine="49"/>
              <w:jc w:val="center"/>
              <w:rPr>
                <w:lang w:val="uk-UA"/>
              </w:rPr>
            </w:pPr>
          </w:p>
        </w:tc>
        <w:tc>
          <w:tcPr>
            <w:tcW w:w="1318" w:type="dxa"/>
            <w:tcBorders>
              <w:top w:val="single" w:sz="4" w:space="0" w:color="auto"/>
              <w:left w:val="nil"/>
              <w:bottom w:val="nil"/>
              <w:right w:val="single" w:sz="8" w:space="0" w:color="auto"/>
            </w:tcBorders>
            <w:shd w:val="clear" w:color="auto" w:fill="auto"/>
            <w:noWrap/>
            <w:vAlign w:val="center"/>
            <w:hideMark/>
          </w:tcPr>
          <w:p w:rsidR="005B03CE" w:rsidRPr="00932F66" w:rsidRDefault="005B03CE" w:rsidP="00C90243">
            <w:pPr>
              <w:spacing w:line="276" w:lineRule="auto"/>
              <w:ind w:firstLine="49"/>
              <w:jc w:val="center"/>
              <w:rPr>
                <w:lang w:val="uk-UA"/>
              </w:rPr>
            </w:pPr>
          </w:p>
        </w:tc>
        <w:tc>
          <w:tcPr>
            <w:tcW w:w="1092" w:type="dxa"/>
            <w:tcBorders>
              <w:top w:val="single" w:sz="4" w:space="0" w:color="auto"/>
              <w:left w:val="nil"/>
              <w:bottom w:val="nil"/>
              <w:right w:val="single" w:sz="8" w:space="0" w:color="auto"/>
            </w:tcBorders>
            <w:shd w:val="clear" w:color="auto" w:fill="auto"/>
            <w:noWrap/>
            <w:vAlign w:val="center"/>
            <w:hideMark/>
          </w:tcPr>
          <w:p w:rsidR="005B03CE" w:rsidRPr="00932F66" w:rsidRDefault="005B03CE" w:rsidP="00C90243">
            <w:pPr>
              <w:spacing w:line="276" w:lineRule="auto"/>
              <w:ind w:firstLine="49"/>
              <w:jc w:val="center"/>
              <w:rPr>
                <w:lang w:val="uk-UA"/>
              </w:rPr>
            </w:pPr>
          </w:p>
        </w:tc>
        <w:tc>
          <w:tcPr>
            <w:tcW w:w="1134" w:type="dxa"/>
            <w:tcBorders>
              <w:top w:val="single" w:sz="4" w:space="0" w:color="auto"/>
              <w:left w:val="nil"/>
              <w:bottom w:val="nil"/>
              <w:right w:val="single" w:sz="8" w:space="0" w:color="auto"/>
            </w:tcBorders>
            <w:shd w:val="clear" w:color="auto" w:fill="auto"/>
            <w:noWrap/>
            <w:vAlign w:val="center"/>
            <w:hideMark/>
          </w:tcPr>
          <w:p w:rsidR="005B03CE" w:rsidRPr="00932F66" w:rsidRDefault="005B03CE" w:rsidP="00C90243">
            <w:pPr>
              <w:spacing w:line="276" w:lineRule="auto"/>
              <w:ind w:firstLine="49"/>
              <w:jc w:val="center"/>
              <w:rPr>
                <w:lang w:val="uk-UA"/>
              </w:rPr>
            </w:pPr>
          </w:p>
        </w:tc>
      </w:tr>
      <w:tr w:rsidR="005B03CE" w:rsidRPr="00932F66" w:rsidTr="00205325">
        <w:trPr>
          <w:trHeight w:val="315"/>
        </w:trPr>
        <w:tc>
          <w:tcPr>
            <w:tcW w:w="1008" w:type="dxa"/>
            <w:tcBorders>
              <w:top w:val="nil"/>
              <w:left w:val="single" w:sz="8" w:space="0" w:color="auto"/>
              <w:bottom w:val="single" w:sz="8" w:space="0" w:color="auto"/>
              <w:right w:val="single" w:sz="8" w:space="0" w:color="auto"/>
            </w:tcBorders>
            <w:shd w:val="clear" w:color="auto" w:fill="auto"/>
            <w:vAlign w:val="center"/>
            <w:hideMark/>
          </w:tcPr>
          <w:p w:rsidR="005B03CE" w:rsidRPr="00932F66" w:rsidRDefault="00C82A84" w:rsidP="00D32167">
            <w:pPr>
              <w:spacing w:line="276" w:lineRule="auto"/>
              <w:ind w:left="-95" w:right="-110"/>
              <w:jc w:val="center"/>
              <w:rPr>
                <w:sz w:val="20"/>
                <w:szCs w:val="20"/>
                <w:lang w:val="uk-UA"/>
              </w:rPr>
            </w:pPr>
            <w:r w:rsidRPr="00932F66">
              <w:rPr>
                <w:sz w:val="20"/>
                <w:szCs w:val="20"/>
                <w:lang w:val="uk-UA"/>
              </w:rPr>
              <w:t>*2</w:t>
            </w:r>
            <w:r w:rsidR="005B03CE" w:rsidRPr="00932F66">
              <w:rPr>
                <w:sz w:val="20"/>
                <w:szCs w:val="20"/>
                <w:lang w:val="uk-UA"/>
              </w:rPr>
              <w:t>018 рік</w:t>
            </w:r>
          </w:p>
        </w:tc>
        <w:tc>
          <w:tcPr>
            <w:tcW w:w="1354" w:type="dxa"/>
            <w:tcBorders>
              <w:top w:val="nil"/>
              <w:left w:val="nil"/>
              <w:bottom w:val="single" w:sz="8" w:space="0" w:color="auto"/>
              <w:right w:val="single" w:sz="8" w:space="0" w:color="auto"/>
            </w:tcBorders>
            <w:shd w:val="clear" w:color="auto" w:fill="auto"/>
            <w:vAlign w:val="center"/>
            <w:hideMark/>
          </w:tcPr>
          <w:p w:rsidR="005B03CE" w:rsidRPr="00932F66" w:rsidRDefault="00273443" w:rsidP="00C90243">
            <w:pPr>
              <w:spacing w:line="276" w:lineRule="auto"/>
              <w:ind w:firstLine="49"/>
              <w:jc w:val="center"/>
              <w:rPr>
                <w:lang w:val="uk-UA"/>
              </w:rPr>
            </w:pPr>
            <w:r w:rsidRPr="00932F66">
              <w:rPr>
                <w:sz w:val="22"/>
                <w:szCs w:val="22"/>
                <w:lang w:val="uk-UA"/>
              </w:rPr>
              <w:t>9188</w:t>
            </w:r>
          </w:p>
        </w:tc>
        <w:tc>
          <w:tcPr>
            <w:tcW w:w="1354" w:type="dxa"/>
            <w:tcBorders>
              <w:top w:val="nil"/>
              <w:left w:val="nil"/>
              <w:bottom w:val="single" w:sz="8" w:space="0" w:color="auto"/>
              <w:right w:val="single" w:sz="8" w:space="0" w:color="auto"/>
            </w:tcBorders>
            <w:shd w:val="clear" w:color="auto" w:fill="auto"/>
            <w:vAlign w:val="center"/>
            <w:hideMark/>
          </w:tcPr>
          <w:p w:rsidR="005B03CE" w:rsidRPr="00932F66" w:rsidRDefault="00273443" w:rsidP="00C90243">
            <w:pPr>
              <w:spacing w:line="276" w:lineRule="auto"/>
              <w:ind w:firstLine="49"/>
              <w:jc w:val="center"/>
              <w:rPr>
                <w:lang w:val="uk-UA"/>
              </w:rPr>
            </w:pPr>
            <w:r w:rsidRPr="00932F66">
              <w:rPr>
                <w:sz w:val="22"/>
                <w:szCs w:val="22"/>
                <w:lang w:val="uk-UA"/>
              </w:rPr>
              <w:t>17</w:t>
            </w:r>
          </w:p>
        </w:tc>
        <w:tc>
          <w:tcPr>
            <w:tcW w:w="1403" w:type="dxa"/>
            <w:tcBorders>
              <w:top w:val="nil"/>
              <w:left w:val="nil"/>
              <w:bottom w:val="single" w:sz="8" w:space="0" w:color="auto"/>
              <w:right w:val="single" w:sz="8" w:space="0" w:color="auto"/>
            </w:tcBorders>
            <w:shd w:val="clear" w:color="auto" w:fill="auto"/>
            <w:vAlign w:val="center"/>
            <w:hideMark/>
          </w:tcPr>
          <w:p w:rsidR="005B03CE" w:rsidRPr="00932F66" w:rsidRDefault="00273443" w:rsidP="00C90243">
            <w:pPr>
              <w:spacing w:line="276" w:lineRule="auto"/>
              <w:ind w:firstLine="49"/>
              <w:jc w:val="center"/>
              <w:rPr>
                <w:lang w:val="uk-UA"/>
              </w:rPr>
            </w:pPr>
            <w:r w:rsidRPr="00932F66">
              <w:rPr>
                <w:sz w:val="22"/>
                <w:szCs w:val="22"/>
                <w:lang w:val="uk-UA"/>
              </w:rPr>
              <w:t>28</w:t>
            </w:r>
          </w:p>
        </w:tc>
        <w:tc>
          <w:tcPr>
            <w:tcW w:w="1417" w:type="dxa"/>
            <w:tcBorders>
              <w:top w:val="nil"/>
              <w:left w:val="nil"/>
              <w:bottom w:val="single" w:sz="8" w:space="0" w:color="auto"/>
              <w:right w:val="single" w:sz="8" w:space="0" w:color="auto"/>
            </w:tcBorders>
            <w:shd w:val="clear" w:color="auto" w:fill="auto"/>
            <w:vAlign w:val="center"/>
            <w:hideMark/>
          </w:tcPr>
          <w:p w:rsidR="005B03CE" w:rsidRPr="00932F66" w:rsidRDefault="005B03CE" w:rsidP="00C90243">
            <w:pPr>
              <w:spacing w:line="276" w:lineRule="auto"/>
              <w:ind w:firstLine="49"/>
              <w:jc w:val="center"/>
              <w:rPr>
                <w:lang w:val="uk-UA"/>
              </w:rPr>
            </w:pPr>
          </w:p>
        </w:tc>
        <w:tc>
          <w:tcPr>
            <w:tcW w:w="1318" w:type="dxa"/>
            <w:tcBorders>
              <w:top w:val="nil"/>
              <w:left w:val="nil"/>
              <w:bottom w:val="single" w:sz="8" w:space="0" w:color="auto"/>
              <w:right w:val="single" w:sz="8" w:space="0" w:color="auto"/>
            </w:tcBorders>
            <w:shd w:val="clear" w:color="auto" w:fill="auto"/>
            <w:noWrap/>
            <w:vAlign w:val="center"/>
            <w:hideMark/>
          </w:tcPr>
          <w:p w:rsidR="005B03CE" w:rsidRPr="00932F66" w:rsidRDefault="00273443" w:rsidP="00C90243">
            <w:pPr>
              <w:spacing w:line="276" w:lineRule="auto"/>
              <w:ind w:firstLine="49"/>
              <w:jc w:val="center"/>
              <w:rPr>
                <w:lang w:val="uk-UA"/>
              </w:rPr>
            </w:pPr>
            <w:r w:rsidRPr="00932F66">
              <w:rPr>
                <w:sz w:val="22"/>
                <w:szCs w:val="22"/>
                <w:lang w:val="uk-UA"/>
              </w:rPr>
              <w:t>9233</w:t>
            </w:r>
          </w:p>
        </w:tc>
        <w:tc>
          <w:tcPr>
            <w:tcW w:w="1092" w:type="dxa"/>
            <w:tcBorders>
              <w:top w:val="nil"/>
              <w:left w:val="nil"/>
              <w:bottom w:val="single" w:sz="8" w:space="0" w:color="auto"/>
              <w:right w:val="single" w:sz="8" w:space="0" w:color="auto"/>
            </w:tcBorders>
            <w:shd w:val="clear" w:color="auto" w:fill="auto"/>
            <w:noWrap/>
            <w:vAlign w:val="center"/>
            <w:hideMark/>
          </w:tcPr>
          <w:p w:rsidR="005B03CE" w:rsidRPr="00932F66" w:rsidRDefault="005B03CE" w:rsidP="00C90243">
            <w:pPr>
              <w:spacing w:line="276" w:lineRule="auto"/>
              <w:ind w:firstLine="49"/>
              <w:jc w:val="center"/>
              <w:rPr>
                <w:lang w:val="uk-UA"/>
              </w:rPr>
            </w:pPr>
          </w:p>
        </w:tc>
        <w:tc>
          <w:tcPr>
            <w:tcW w:w="1134" w:type="dxa"/>
            <w:tcBorders>
              <w:top w:val="nil"/>
              <w:left w:val="nil"/>
              <w:bottom w:val="single" w:sz="8" w:space="0" w:color="auto"/>
              <w:right w:val="single" w:sz="8" w:space="0" w:color="auto"/>
            </w:tcBorders>
            <w:shd w:val="clear" w:color="auto" w:fill="auto"/>
            <w:noWrap/>
            <w:vAlign w:val="center"/>
            <w:hideMark/>
          </w:tcPr>
          <w:p w:rsidR="005B03CE" w:rsidRPr="00932F66" w:rsidRDefault="005B03CE" w:rsidP="00C90243">
            <w:pPr>
              <w:spacing w:line="276" w:lineRule="auto"/>
              <w:ind w:firstLine="49"/>
              <w:jc w:val="center"/>
              <w:rPr>
                <w:lang w:val="uk-UA"/>
              </w:rPr>
            </w:pPr>
          </w:p>
        </w:tc>
      </w:tr>
    </w:tbl>
    <w:p w:rsidR="000C6BAF" w:rsidRPr="00932F66" w:rsidRDefault="000C6BAF" w:rsidP="00C90243">
      <w:pPr>
        <w:pStyle w:val="aa"/>
        <w:spacing w:line="276" w:lineRule="auto"/>
        <w:ind w:firstLine="709"/>
        <w:jc w:val="both"/>
        <w:rPr>
          <w:b w:val="0"/>
          <w:sz w:val="24"/>
          <w:szCs w:val="24"/>
        </w:rPr>
      </w:pPr>
    </w:p>
    <w:p w:rsidR="000C6BAF" w:rsidRPr="00932F66" w:rsidRDefault="000C6BAF" w:rsidP="00C90243">
      <w:pPr>
        <w:pStyle w:val="aa"/>
        <w:spacing w:line="276" w:lineRule="auto"/>
        <w:ind w:firstLine="709"/>
        <w:jc w:val="both"/>
        <w:rPr>
          <w:b w:val="0"/>
          <w:sz w:val="24"/>
          <w:szCs w:val="24"/>
        </w:rPr>
      </w:pPr>
      <w:r w:rsidRPr="00932F66">
        <w:rPr>
          <w:b w:val="0"/>
          <w:sz w:val="24"/>
          <w:szCs w:val="24"/>
        </w:rPr>
        <w:t xml:space="preserve">* </w:t>
      </w:r>
      <w:r w:rsidR="00D32167">
        <w:rPr>
          <w:b w:val="0"/>
          <w:sz w:val="24"/>
          <w:szCs w:val="24"/>
        </w:rPr>
        <w:t>За</w:t>
      </w:r>
      <w:r w:rsidRPr="00932F66">
        <w:rPr>
          <w:b w:val="0"/>
          <w:sz w:val="24"/>
          <w:szCs w:val="24"/>
        </w:rPr>
        <w:t xml:space="preserve"> період з 01.01.</w:t>
      </w:r>
      <w:r w:rsidR="00D32167">
        <w:rPr>
          <w:b w:val="0"/>
          <w:sz w:val="24"/>
          <w:szCs w:val="24"/>
        </w:rPr>
        <w:t>2018</w:t>
      </w:r>
      <w:r w:rsidRPr="00932F66">
        <w:rPr>
          <w:b w:val="0"/>
          <w:sz w:val="24"/>
          <w:szCs w:val="24"/>
        </w:rPr>
        <w:t xml:space="preserve"> по 02.10.2018р.</w:t>
      </w:r>
    </w:p>
    <w:p w:rsidR="00A57442" w:rsidRPr="00932F66" w:rsidRDefault="00A57442" w:rsidP="00C90243">
      <w:pPr>
        <w:pStyle w:val="aa"/>
        <w:spacing w:line="276" w:lineRule="auto"/>
        <w:ind w:firstLine="709"/>
        <w:jc w:val="both"/>
        <w:rPr>
          <w:b w:val="0"/>
        </w:rPr>
      </w:pPr>
      <w:r w:rsidRPr="00932F66">
        <w:t>Гістограма 1</w:t>
      </w:r>
      <w:r w:rsidRPr="00932F66">
        <w:rPr>
          <w:b w:val="0"/>
        </w:rPr>
        <w:t xml:space="preserve"> відображає динаміку показника, що аналізується, аналогічну амплітуді надходження справ та матеріалів (за винятком 2015 року, коли надходження зросло на 3,9%, а крива справ та матеріалів, що перебували на розгляді опустилась </w:t>
      </w:r>
      <w:r w:rsidR="001C2F97" w:rsidRPr="00932F66">
        <w:rPr>
          <w:b w:val="0"/>
        </w:rPr>
        <w:t>на 64,2% - дані з таблиць 1 та 2</w:t>
      </w:r>
      <w:r w:rsidRPr="00932F66">
        <w:rPr>
          <w:b w:val="0"/>
        </w:rPr>
        <w:t>).</w:t>
      </w:r>
      <w:r w:rsidRPr="00932F66">
        <w:rPr>
          <w:b w:val="0"/>
        </w:rPr>
        <w:tab/>
      </w:r>
    </w:p>
    <w:p w:rsidR="00A57442" w:rsidRPr="00932F66" w:rsidRDefault="00A57442" w:rsidP="00C90243">
      <w:pPr>
        <w:pStyle w:val="aa"/>
        <w:spacing w:line="276" w:lineRule="auto"/>
        <w:ind w:firstLine="709"/>
        <w:jc w:val="both"/>
        <w:rPr>
          <w:b w:val="0"/>
        </w:rPr>
      </w:pPr>
    </w:p>
    <w:p w:rsidR="00A57442" w:rsidRPr="00932F66" w:rsidRDefault="008F520C" w:rsidP="00C90243">
      <w:pPr>
        <w:pStyle w:val="aa"/>
        <w:spacing w:line="276" w:lineRule="auto"/>
        <w:ind w:firstLine="709"/>
        <w:jc w:val="right"/>
      </w:pPr>
      <w:r w:rsidRPr="00932F66">
        <w:t>Таблиця 3</w:t>
      </w:r>
    </w:p>
    <w:tbl>
      <w:tblPr>
        <w:tblW w:w="9960" w:type="dxa"/>
        <w:tblInd w:w="93" w:type="dxa"/>
        <w:tblLook w:val="04A0"/>
      </w:tblPr>
      <w:tblGrid>
        <w:gridCol w:w="9960"/>
      </w:tblGrid>
      <w:tr w:rsidR="00A57442" w:rsidRPr="00932F66" w:rsidTr="00A57AC2">
        <w:tc>
          <w:tcPr>
            <w:tcW w:w="9960" w:type="dxa"/>
          </w:tcPr>
          <w:p w:rsidR="00A57442" w:rsidRPr="00932F66" w:rsidRDefault="00A57442" w:rsidP="00C90243">
            <w:pPr>
              <w:pStyle w:val="aa"/>
              <w:spacing w:line="276" w:lineRule="auto"/>
              <w:ind w:firstLine="709"/>
            </w:pPr>
            <w:r w:rsidRPr="00932F66">
              <w:t xml:space="preserve">Показники розгляду справ та матеріалів </w:t>
            </w:r>
          </w:p>
          <w:p w:rsidR="00A57442" w:rsidRPr="00932F66" w:rsidRDefault="00A57442" w:rsidP="00C90243">
            <w:pPr>
              <w:pStyle w:val="aa"/>
              <w:spacing w:line="276" w:lineRule="auto"/>
              <w:ind w:firstLine="709"/>
            </w:pPr>
            <w:r w:rsidRPr="00932F66">
              <w:t>у Львівському апеляційному адміністративному суді</w:t>
            </w:r>
          </w:p>
          <w:p w:rsidR="00A57442" w:rsidRPr="00932F66" w:rsidRDefault="00A57442" w:rsidP="00C90243">
            <w:pPr>
              <w:pStyle w:val="aa"/>
              <w:spacing w:line="276" w:lineRule="auto"/>
              <w:ind w:firstLine="709"/>
            </w:pPr>
            <w:r w:rsidRPr="00932F66">
              <w:t>упродовж 2007- 201</w:t>
            </w:r>
            <w:r w:rsidR="00C82A84" w:rsidRPr="00932F66">
              <w:t>8</w:t>
            </w:r>
            <w:r w:rsidRPr="00932F66">
              <w:t xml:space="preserve"> років</w:t>
            </w:r>
          </w:p>
        </w:tc>
      </w:tr>
    </w:tbl>
    <w:p w:rsidR="00A57442" w:rsidRPr="00932F66" w:rsidRDefault="00A57442" w:rsidP="00C90243">
      <w:pPr>
        <w:pStyle w:val="aa"/>
        <w:spacing w:line="276" w:lineRule="auto"/>
        <w:ind w:firstLine="709"/>
        <w:jc w:val="both"/>
        <w:rPr>
          <w:b w:val="0"/>
        </w:rPr>
      </w:pPr>
    </w:p>
    <w:tbl>
      <w:tblPr>
        <w:tblW w:w="9902" w:type="dxa"/>
        <w:tblInd w:w="108" w:type="dxa"/>
        <w:tblLayout w:type="fixed"/>
        <w:tblLook w:val="04A0"/>
      </w:tblPr>
      <w:tblGrid>
        <w:gridCol w:w="992"/>
        <w:gridCol w:w="1327"/>
        <w:gridCol w:w="1224"/>
        <w:gridCol w:w="1560"/>
        <w:gridCol w:w="1260"/>
        <w:gridCol w:w="1292"/>
        <w:gridCol w:w="1071"/>
        <w:gridCol w:w="1176"/>
      </w:tblGrid>
      <w:tr w:rsidR="00A57442" w:rsidRPr="00932F66" w:rsidTr="00D32167">
        <w:trPr>
          <w:trHeight w:val="1775"/>
        </w:trPr>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right="34" w:firstLine="34"/>
              <w:jc w:val="center"/>
              <w:rPr>
                <w:lang w:val="uk-UA"/>
              </w:rPr>
            </w:pPr>
            <w:r w:rsidRPr="00932F66">
              <w:rPr>
                <w:sz w:val="22"/>
                <w:szCs w:val="22"/>
                <w:lang w:val="uk-UA"/>
              </w:rPr>
              <w:t>Пері-од</w:t>
            </w:r>
          </w:p>
        </w:tc>
        <w:tc>
          <w:tcPr>
            <w:tcW w:w="132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left="-108" w:right="-54"/>
              <w:jc w:val="center"/>
              <w:rPr>
                <w:lang w:val="uk-UA"/>
              </w:rPr>
            </w:pPr>
            <w:r w:rsidRPr="00932F66">
              <w:rPr>
                <w:sz w:val="22"/>
                <w:szCs w:val="22"/>
                <w:lang w:val="uk-UA"/>
              </w:rPr>
              <w:t>Розглянуто апеляційних скарг</w:t>
            </w:r>
          </w:p>
        </w:tc>
        <w:tc>
          <w:tcPr>
            <w:tcW w:w="122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right="-107" w:firstLine="34"/>
              <w:jc w:val="center"/>
              <w:rPr>
                <w:lang w:val="uk-UA"/>
              </w:rPr>
            </w:pPr>
            <w:r w:rsidRPr="00932F66">
              <w:rPr>
                <w:sz w:val="22"/>
                <w:szCs w:val="22"/>
                <w:lang w:val="uk-UA"/>
              </w:rPr>
              <w:t>Розглянуто позовних заяв\ справ</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firstLine="34"/>
              <w:jc w:val="center"/>
              <w:rPr>
                <w:lang w:val="uk-UA"/>
              </w:rPr>
            </w:pPr>
            <w:r w:rsidRPr="00932F66">
              <w:rPr>
                <w:sz w:val="22"/>
                <w:szCs w:val="22"/>
                <w:lang w:val="uk-UA"/>
              </w:rPr>
              <w:t>Розглянуто заяв про перегляд судового рішення за ново- виявленими обставинами</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A57442" w:rsidP="00D32167">
            <w:pPr>
              <w:spacing w:line="276" w:lineRule="auto"/>
              <w:ind w:firstLine="34"/>
              <w:jc w:val="center"/>
              <w:rPr>
                <w:lang w:val="uk-UA"/>
              </w:rPr>
            </w:pPr>
            <w:r w:rsidRPr="00932F66">
              <w:rPr>
                <w:sz w:val="22"/>
                <w:szCs w:val="22"/>
                <w:lang w:val="uk-UA"/>
              </w:rPr>
              <w:t>Віднов-лення втраче-ного провад-ження</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7442" w:rsidRPr="00932F66" w:rsidRDefault="001C2F97" w:rsidP="00D32167">
            <w:pPr>
              <w:spacing w:line="276" w:lineRule="auto"/>
              <w:ind w:firstLine="34"/>
              <w:jc w:val="center"/>
              <w:rPr>
                <w:lang w:val="uk-UA"/>
              </w:rPr>
            </w:pPr>
            <w:r w:rsidRPr="00932F66">
              <w:rPr>
                <w:sz w:val="22"/>
                <w:szCs w:val="22"/>
                <w:lang w:val="uk-UA"/>
              </w:rPr>
              <w:t>ВСЬОГО розглянуто справ та мате</w:t>
            </w:r>
            <w:r w:rsidR="00A57442" w:rsidRPr="00932F66">
              <w:rPr>
                <w:sz w:val="22"/>
                <w:szCs w:val="22"/>
                <w:lang w:val="uk-UA"/>
              </w:rPr>
              <w:t>ріалів</w:t>
            </w:r>
          </w:p>
        </w:tc>
        <w:tc>
          <w:tcPr>
            <w:tcW w:w="2247" w:type="dxa"/>
            <w:gridSpan w:val="2"/>
            <w:tcBorders>
              <w:top w:val="single" w:sz="8" w:space="0" w:color="auto"/>
              <w:left w:val="nil"/>
              <w:bottom w:val="single" w:sz="8" w:space="0" w:color="auto"/>
              <w:right w:val="single" w:sz="8" w:space="0" w:color="000000"/>
            </w:tcBorders>
            <w:shd w:val="clear" w:color="auto" w:fill="auto"/>
            <w:hideMark/>
          </w:tcPr>
          <w:p w:rsidR="00A57442" w:rsidRPr="00932F66" w:rsidRDefault="00A57442" w:rsidP="00D32167">
            <w:pPr>
              <w:spacing w:line="276" w:lineRule="auto"/>
              <w:ind w:firstLine="34"/>
              <w:jc w:val="center"/>
              <w:rPr>
                <w:lang w:val="uk-UA"/>
              </w:rPr>
            </w:pPr>
            <w:r w:rsidRPr="00932F66">
              <w:rPr>
                <w:sz w:val="22"/>
                <w:szCs w:val="22"/>
                <w:lang w:val="uk-UA"/>
              </w:rPr>
              <w:t>% співвідношення кількості розглянутих справ та матеріалів до тих, що</w:t>
            </w:r>
          </w:p>
        </w:tc>
      </w:tr>
      <w:tr w:rsidR="00A57442" w:rsidRPr="00932F66" w:rsidTr="001C2F97">
        <w:trPr>
          <w:trHeight w:val="675"/>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right="34" w:firstLine="34"/>
              <w:rPr>
                <w:lang w:val="uk-UA"/>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firstLine="34"/>
              <w:rPr>
                <w:lang w:val="uk-UA"/>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firstLine="34"/>
              <w:rPr>
                <w:lang w:val="uk-UA"/>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firstLine="34"/>
              <w:rPr>
                <w:lang w:val="uk-UA"/>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firstLine="34"/>
              <w:rPr>
                <w:lang w:val="uk-UA"/>
              </w:rPr>
            </w:pPr>
          </w:p>
        </w:tc>
        <w:tc>
          <w:tcPr>
            <w:tcW w:w="1292"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ind w:firstLine="34"/>
              <w:rPr>
                <w:lang w:val="uk-UA"/>
              </w:rPr>
            </w:pPr>
          </w:p>
        </w:tc>
        <w:tc>
          <w:tcPr>
            <w:tcW w:w="1071"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34"/>
              <w:jc w:val="center"/>
              <w:rPr>
                <w:sz w:val="18"/>
                <w:szCs w:val="18"/>
                <w:lang w:val="uk-UA"/>
              </w:rPr>
            </w:pPr>
            <w:r w:rsidRPr="00932F66">
              <w:rPr>
                <w:sz w:val="18"/>
                <w:szCs w:val="18"/>
                <w:lang w:val="uk-UA"/>
              </w:rPr>
              <w:t>надійшли на розгляд</w:t>
            </w:r>
          </w:p>
        </w:tc>
        <w:tc>
          <w:tcPr>
            <w:tcW w:w="1176"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34"/>
              <w:jc w:val="center"/>
              <w:rPr>
                <w:sz w:val="18"/>
                <w:szCs w:val="18"/>
                <w:lang w:val="uk-UA"/>
              </w:rPr>
            </w:pPr>
            <w:r w:rsidRPr="00932F66">
              <w:rPr>
                <w:sz w:val="18"/>
                <w:szCs w:val="18"/>
                <w:lang w:val="uk-UA"/>
              </w:rPr>
              <w:t>Перебували      на    розгляді</w:t>
            </w:r>
          </w:p>
        </w:tc>
      </w:tr>
      <w:tr w:rsidR="00A57442" w:rsidRPr="00932F66" w:rsidTr="001C2F97">
        <w:trPr>
          <w:trHeight w:val="315"/>
        </w:trPr>
        <w:tc>
          <w:tcPr>
            <w:tcW w:w="992" w:type="dxa"/>
            <w:tcBorders>
              <w:top w:val="nil"/>
              <w:left w:val="single" w:sz="8" w:space="0" w:color="auto"/>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right="34" w:firstLine="34"/>
              <w:jc w:val="center"/>
              <w:rPr>
                <w:lang w:val="uk-UA"/>
              </w:rPr>
            </w:pPr>
            <w:r w:rsidRPr="00932F66">
              <w:rPr>
                <w:sz w:val="22"/>
                <w:szCs w:val="22"/>
                <w:lang w:val="uk-UA"/>
              </w:rPr>
              <w:t>А</w:t>
            </w:r>
          </w:p>
        </w:tc>
        <w:tc>
          <w:tcPr>
            <w:tcW w:w="1327"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34"/>
              <w:jc w:val="center"/>
              <w:rPr>
                <w:lang w:val="uk-UA"/>
              </w:rPr>
            </w:pPr>
            <w:r w:rsidRPr="00932F66">
              <w:rPr>
                <w:sz w:val="22"/>
                <w:szCs w:val="22"/>
                <w:lang w:val="uk-UA"/>
              </w:rPr>
              <w:t>1</w:t>
            </w:r>
          </w:p>
        </w:tc>
        <w:tc>
          <w:tcPr>
            <w:tcW w:w="1224"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34"/>
              <w:jc w:val="center"/>
              <w:rPr>
                <w:lang w:val="uk-UA"/>
              </w:rPr>
            </w:pPr>
            <w:r w:rsidRPr="00932F66">
              <w:rPr>
                <w:sz w:val="22"/>
                <w:szCs w:val="22"/>
                <w:lang w:val="uk-UA"/>
              </w:rPr>
              <w:t>2</w:t>
            </w:r>
          </w:p>
        </w:tc>
        <w:tc>
          <w:tcPr>
            <w:tcW w:w="1560"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34"/>
              <w:jc w:val="center"/>
              <w:rPr>
                <w:lang w:val="uk-UA"/>
              </w:rPr>
            </w:pPr>
            <w:r w:rsidRPr="00932F66">
              <w:rPr>
                <w:sz w:val="22"/>
                <w:szCs w:val="22"/>
                <w:lang w:val="uk-UA"/>
              </w:rPr>
              <w:t>3</w:t>
            </w:r>
          </w:p>
        </w:tc>
        <w:tc>
          <w:tcPr>
            <w:tcW w:w="1260"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34"/>
              <w:jc w:val="center"/>
              <w:rPr>
                <w:lang w:val="uk-UA"/>
              </w:rPr>
            </w:pPr>
            <w:r w:rsidRPr="00932F66">
              <w:rPr>
                <w:sz w:val="22"/>
                <w:szCs w:val="22"/>
                <w:lang w:val="uk-UA"/>
              </w:rPr>
              <w:t>4</w:t>
            </w:r>
          </w:p>
        </w:tc>
        <w:tc>
          <w:tcPr>
            <w:tcW w:w="1292"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34"/>
              <w:jc w:val="center"/>
              <w:rPr>
                <w:lang w:val="uk-UA"/>
              </w:rPr>
            </w:pPr>
            <w:r w:rsidRPr="00932F66">
              <w:rPr>
                <w:sz w:val="22"/>
                <w:szCs w:val="22"/>
                <w:lang w:val="uk-UA"/>
              </w:rPr>
              <w:t>5</w:t>
            </w:r>
          </w:p>
        </w:tc>
        <w:tc>
          <w:tcPr>
            <w:tcW w:w="1071"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34"/>
              <w:jc w:val="center"/>
              <w:rPr>
                <w:lang w:val="uk-UA"/>
              </w:rPr>
            </w:pPr>
            <w:r w:rsidRPr="00932F66">
              <w:rPr>
                <w:sz w:val="22"/>
                <w:szCs w:val="22"/>
                <w:lang w:val="uk-UA"/>
              </w:rPr>
              <w:t>6</w:t>
            </w:r>
          </w:p>
        </w:tc>
        <w:tc>
          <w:tcPr>
            <w:tcW w:w="1176" w:type="dxa"/>
            <w:tcBorders>
              <w:top w:val="nil"/>
              <w:left w:val="nil"/>
              <w:bottom w:val="single" w:sz="8" w:space="0" w:color="auto"/>
              <w:right w:val="single" w:sz="8" w:space="0" w:color="auto"/>
            </w:tcBorders>
            <w:shd w:val="clear" w:color="auto" w:fill="auto"/>
            <w:vAlign w:val="bottom"/>
            <w:hideMark/>
          </w:tcPr>
          <w:p w:rsidR="00A57442" w:rsidRPr="00932F66" w:rsidRDefault="00A57442" w:rsidP="00C90243">
            <w:pPr>
              <w:spacing w:line="276" w:lineRule="auto"/>
              <w:ind w:firstLine="34"/>
              <w:jc w:val="center"/>
              <w:rPr>
                <w:lang w:val="uk-UA"/>
              </w:rPr>
            </w:pPr>
            <w:r w:rsidRPr="00932F66">
              <w:rPr>
                <w:sz w:val="22"/>
                <w:szCs w:val="22"/>
                <w:lang w:val="uk-UA"/>
              </w:rPr>
              <w:t>7</w:t>
            </w:r>
          </w:p>
        </w:tc>
      </w:tr>
      <w:tr w:rsidR="00A57442" w:rsidRPr="00932F66" w:rsidTr="001C2F97">
        <w:trPr>
          <w:trHeight w:val="31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2007 рік</w:t>
            </w:r>
          </w:p>
        </w:tc>
        <w:tc>
          <w:tcPr>
            <w:tcW w:w="132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3 559</w:t>
            </w:r>
          </w:p>
        </w:tc>
        <w:tc>
          <w:tcPr>
            <w:tcW w:w="122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560"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13</w:t>
            </w:r>
          </w:p>
        </w:tc>
        <w:tc>
          <w:tcPr>
            <w:tcW w:w="126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2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3 572</w:t>
            </w:r>
          </w:p>
        </w:tc>
        <w:tc>
          <w:tcPr>
            <w:tcW w:w="1071"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49,7%</w:t>
            </w:r>
          </w:p>
        </w:tc>
        <w:tc>
          <w:tcPr>
            <w:tcW w:w="1176"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49,7%</w:t>
            </w:r>
          </w:p>
        </w:tc>
      </w:tr>
      <w:tr w:rsidR="00A57442" w:rsidRPr="00932F66" w:rsidTr="001C2F97">
        <w:trPr>
          <w:trHeight w:val="31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2008 рік</w:t>
            </w:r>
          </w:p>
        </w:tc>
        <w:tc>
          <w:tcPr>
            <w:tcW w:w="132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9 352</w:t>
            </w:r>
          </w:p>
        </w:tc>
        <w:tc>
          <w:tcPr>
            <w:tcW w:w="122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560"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36</w:t>
            </w:r>
          </w:p>
        </w:tc>
        <w:tc>
          <w:tcPr>
            <w:tcW w:w="126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2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9 388</w:t>
            </w:r>
          </w:p>
        </w:tc>
        <w:tc>
          <w:tcPr>
            <w:tcW w:w="1071"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58,8%</w:t>
            </w:r>
          </w:p>
        </w:tc>
        <w:tc>
          <w:tcPr>
            <w:tcW w:w="1176"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47,9%</w:t>
            </w:r>
          </w:p>
        </w:tc>
      </w:tr>
      <w:tr w:rsidR="00A57442" w:rsidRPr="00932F66" w:rsidTr="001C2F97">
        <w:trPr>
          <w:trHeight w:val="31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2009 рік</w:t>
            </w:r>
          </w:p>
        </w:tc>
        <w:tc>
          <w:tcPr>
            <w:tcW w:w="132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20 292</w:t>
            </w:r>
          </w:p>
        </w:tc>
        <w:tc>
          <w:tcPr>
            <w:tcW w:w="122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560"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22</w:t>
            </w:r>
          </w:p>
        </w:tc>
        <w:tc>
          <w:tcPr>
            <w:tcW w:w="126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2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20 314</w:t>
            </w:r>
          </w:p>
        </w:tc>
        <w:tc>
          <w:tcPr>
            <w:tcW w:w="1071"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21,7%</w:t>
            </w:r>
          </w:p>
        </w:tc>
        <w:tc>
          <w:tcPr>
            <w:tcW w:w="1176"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19,6%</w:t>
            </w:r>
          </w:p>
        </w:tc>
      </w:tr>
      <w:tr w:rsidR="00A57442" w:rsidRPr="00932F66" w:rsidTr="001C2F97">
        <w:trPr>
          <w:trHeight w:val="31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2010 рік</w:t>
            </w:r>
          </w:p>
        </w:tc>
        <w:tc>
          <w:tcPr>
            <w:tcW w:w="132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52 039</w:t>
            </w:r>
          </w:p>
        </w:tc>
        <w:tc>
          <w:tcPr>
            <w:tcW w:w="122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7</w:t>
            </w:r>
          </w:p>
        </w:tc>
        <w:tc>
          <w:tcPr>
            <w:tcW w:w="1560"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43</w:t>
            </w:r>
          </w:p>
        </w:tc>
        <w:tc>
          <w:tcPr>
            <w:tcW w:w="126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2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52 089</w:t>
            </w:r>
          </w:p>
        </w:tc>
        <w:tc>
          <w:tcPr>
            <w:tcW w:w="1071"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137,0%</w:t>
            </w:r>
          </w:p>
        </w:tc>
        <w:tc>
          <w:tcPr>
            <w:tcW w:w="1176"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42,9%</w:t>
            </w:r>
          </w:p>
        </w:tc>
      </w:tr>
      <w:tr w:rsidR="00A57442" w:rsidRPr="00932F66" w:rsidTr="001C2F97">
        <w:trPr>
          <w:trHeight w:val="31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2011 рік</w:t>
            </w:r>
          </w:p>
        </w:tc>
        <w:tc>
          <w:tcPr>
            <w:tcW w:w="132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80 128</w:t>
            </w:r>
          </w:p>
        </w:tc>
        <w:tc>
          <w:tcPr>
            <w:tcW w:w="122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11</w:t>
            </w:r>
          </w:p>
        </w:tc>
        <w:tc>
          <w:tcPr>
            <w:tcW w:w="1560"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45</w:t>
            </w:r>
          </w:p>
        </w:tc>
        <w:tc>
          <w:tcPr>
            <w:tcW w:w="126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2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80 184</w:t>
            </w:r>
          </w:p>
        </w:tc>
        <w:tc>
          <w:tcPr>
            <w:tcW w:w="1071"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52,5%</w:t>
            </w:r>
          </w:p>
        </w:tc>
        <w:tc>
          <w:tcPr>
            <w:tcW w:w="1176"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36,1%</w:t>
            </w:r>
          </w:p>
        </w:tc>
      </w:tr>
      <w:tr w:rsidR="00A57442" w:rsidRPr="00932F66" w:rsidTr="001C2F97">
        <w:trPr>
          <w:trHeight w:val="31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2012 рік</w:t>
            </w:r>
          </w:p>
        </w:tc>
        <w:tc>
          <w:tcPr>
            <w:tcW w:w="132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137 931</w:t>
            </w:r>
          </w:p>
        </w:tc>
        <w:tc>
          <w:tcPr>
            <w:tcW w:w="122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8</w:t>
            </w:r>
          </w:p>
        </w:tc>
        <w:tc>
          <w:tcPr>
            <w:tcW w:w="1560"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103</w:t>
            </w:r>
          </w:p>
        </w:tc>
        <w:tc>
          <w:tcPr>
            <w:tcW w:w="126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2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138 042</w:t>
            </w:r>
          </w:p>
        </w:tc>
        <w:tc>
          <w:tcPr>
            <w:tcW w:w="1071"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75,1%</w:t>
            </w:r>
          </w:p>
        </w:tc>
        <w:tc>
          <w:tcPr>
            <w:tcW w:w="1176"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42,4%</w:t>
            </w:r>
          </w:p>
        </w:tc>
      </w:tr>
      <w:tr w:rsidR="00A57442" w:rsidRPr="00932F66" w:rsidTr="001C2F97">
        <w:trPr>
          <w:trHeight w:val="31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2013 рік</w:t>
            </w:r>
          </w:p>
        </w:tc>
        <w:tc>
          <w:tcPr>
            <w:tcW w:w="132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152 360</w:t>
            </w:r>
          </w:p>
        </w:tc>
        <w:tc>
          <w:tcPr>
            <w:tcW w:w="122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2</w:t>
            </w:r>
          </w:p>
        </w:tc>
        <w:tc>
          <w:tcPr>
            <w:tcW w:w="1560"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62</w:t>
            </w:r>
          </w:p>
        </w:tc>
        <w:tc>
          <w:tcPr>
            <w:tcW w:w="126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2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152 424</w:t>
            </w:r>
          </w:p>
        </w:tc>
        <w:tc>
          <w:tcPr>
            <w:tcW w:w="1071"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950,4%</w:t>
            </w:r>
          </w:p>
        </w:tc>
        <w:tc>
          <w:tcPr>
            <w:tcW w:w="1176"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74,8%</w:t>
            </w:r>
          </w:p>
        </w:tc>
      </w:tr>
      <w:tr w:rsidR="00A57442" w:rsidRPr="00932F66" w:rsidTr="001C2F97">
        <w:trPr>
          <w:trHeight w:val="31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2014 рік</w:t>
            </w:r>
          </w:p>
        </w:tc>
        <w:tc>
          <w:tcPr>
            <w:tcW w:w="132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53 177</w:t>
            </w:r>
          </w:p>
        </w:tc>
        <w:tc>
          <w:tcPr>
            <w:tcW w:w="122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w:t>
            </w:r>
          </w:p>
        </w:tc>
        <w:tc>
          <w:tcPr>
            <w:tcW w:w="1560"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56</w:t>
            </w:r>
          </w:p>
        </w:tc>
        <w:tc>
          <w:tcPr>
            <w:tcW w:w="126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2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53 234</w:t>
            </w:r>
          </w:p>
        </w:tc>
        <w:tc>
          <w:tcPr>
            <w:tcW w:w="1071"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442,0%</w:t>
            </w:r>
          </w:p>
        </w:tc>
        <w:tc>
          <w:tcPr>
            <w:tcW w:w="1176"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84%</w:t>
            </w:r>
          </w:p>
        </w:tc>
      </w:tr>
      <w:tr w:rsidR="00A57442" w:rsidRPr="00932F66" w:rsidTr="001C2F97">
        <w:trPr>
          <w:trHeight w:val="31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2015 рік</w:t>
            </w:r>
          </w:p>
        </w:tc>
        <w:tc>
          <w:tcPr>
            <w:tcW w:w="132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18 696</w:t>
            </w:r>
          </w:p>
        </w:tc>
        <w:tc>
          <w:tcPr>
            <w:tcW w:w="122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560"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52</w:t>
            </w:r>
          </w:p>
        </w:tc>
        <w:tc>
          <w:tcPr>
            <w:tcW w:w="1260"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2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18 748</w:t>
            </w:r>
          </w:p>
        </w:tc>
        <w:tc>
          <w:tcPr>
            <w:tcW w:w="1071"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149,8%</w:t>
            </w:r>
          </w:p>
        </w:tc>
        <w:tc>
          <w:tcPr>
            <w:tcW w:w="1176"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82,7%</w:t>
            </w:r>
          </w:p>
        </w:tc>
      </w:tr>
      <w:tr w:rsidR="00A57442" w:rsidRPr="00932F66" w:rsidTr="001C2F97">
        <w:trPr>
          <w:trHeight w:val="315"/>
        </w:trPr>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2016 рік</w:t>
            </w:r>
          </w:p>
        </w:tc>
        <w:tc>
          <w:tcPr>
            <w:tcW w:w="1327"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12 339</w:t>
            </w:r>
          </w:p>
        </w:tc>
        <w:tc>
          <w:tcPr>
            <w:tcW w:w="1224"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w:t>
            </w:r>
          </w:p>
        </w:tc>
        <w:tc>
          <w:tcPr>
            <w:tcW w:w="1560"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34</w:t>
            </w:r>
          </w:p>
        </w:tc>
        <w:tc>
          <w:tcPr>
            <w:tcW w:w="1260"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 </w:t>
            </w:r>
          </w:p>
        </w:tc>
        <w:tc>
          <w:tcPr>
            <w:tcW w:w="1292"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12 374</w:t>
            </w:r>
          </w:p>
        </w:tc>
        <w:tc>
          <w:tcPr>
            <w:tcW w:w="1071"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116,0%</w:t>
            </w:r>
          </w:p>
        </w:tc>
        <w:tc>
          <w:tcPr>
            <w:tcW w:w="1176" w:type="dxa"/>
            <w:tcBorders>
              <w:top w:val="nil"/>
              <w:left w:val="nil"/>
              <w:bottom w:val="single" w:sz="8"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lang w:val="uk-UA"/>
              </w:rPr>
            </w:pPr>
            <w:r w:rsidRPr="00932F66">
              <w:rPr>
                <w:sz w:val="22"/>
                <w:szCs w:val="22"/>
                <w:lang w:val="uk-UA"/>
              </w:rPr>
              <w:t>84,8%</w:t>
            </w:r>
          </w:p>
        </w:tc>
      </w:tr>
      <w:tr w:rsidR="00A57442" w:rsidRPr="00932F66" w:rsidTr="001C2F97">
        <w:trPr>
          <w:trHeight w:val="315"/>
        </w:trPr>
        <w:tc>
          <w:tcPr>
            <w:tcW w:w="992" w:type="dxa"/>
            <w:tcBorders>
              <w:top w:val="nil"/>
              <w:left w:val="single" w:sz="8" w:space="0" w:color="auto"/>
              <w:bottom w:val="single" w:sz="4" w:space="0" w:color="auto"/>
              <w:right w:val="single" w:sz="8" w:space="0" w:color="auto"/>
            </w:tcBorders>
            <w:shd w:val="clear" w:color="auto" w:fill="auto"/>
            <w:vAlign w:val="center"/>
            <w:hideMark/>
          </w:tcPr>
          <w:p w:rsidR="00A57442" w:rsidRPr="00932F66" w:rsidRDefault="00A57442" w:rsidP="00C90243">
            <w:pPr>
              <w:spacing w:line="276" w:lineRule="auto"/>
              <w:ind w:right="34" w:firstLine="34"/>
              <w:jc w:val="center"/>
              <w:rPr>
                <w:sz w:val="20"/>
                <w:szCs w:val="20"/>
                <w:lang w:val="uk-UA"/>
              </w:rPr>
            </w:pPr>
            <w:r w:rsidRPr="00932F66">
              <w:rPr>
                <w:sz w:val="20"/>
                <w:szCs w:val="20"/>
                <w:lang w:val="uk-UA"/>
              </w:rPr>
              <w:t>2017 рік</w:t>
            </w:r>
          </w:p>
        </w:tc>
        <w:tc>
          <w:tcPr>
            <w:tcW w:w="1327" w:type="dxa"/>
            <w:tcBorders>
              <w:top w:val="nil"/>
              <w:left w:val="nil"/>
              <w:bottom w:val="single" w:sz="4"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sz w:val="20"/>
                <w:szCs w:val="20"/>
                <w:lang w:val="uk-UA"/>
              </w:rPr>
            </w:pPr>
            <w:r w:rsidRPr="00932F66">
              <w:rPr>
                <w:sz w:val="20"/>
                <w:szCs w:val="20"/>
                <w:lang w:val="uk-UA"/>
              </w:rPr>
              <w:t>13 192</w:t>
            </w:r>
          </w:p>
        </w:tc>
        <w:tc>
          <w:tcPr>
            <w:tcW w:w="1224" w:type="dxa"/>
            <w:tcBorders>
              <w:top w:val="nil"/>
              <w:left w:val="nil"/>
              <w:bottom w:val="single" w:sz="4"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sz w:val="20"/>
                <w:szCs w:val="20"/>
                <w:lang w:val="uk-UA"/>
              </w:rPr>
            </w:pPr>
            <w:r w:rsidRPr="00932F66">
              <w:rPr>
                <w:sz w:val="20"/>
                <w:szCs w:val="20"/>
                <w:lang w:val="uk-UA"/>
              </w:rPr>
              <w:t>36</w:t>
            </w:r>
          </w:p>
        </w:tc>
        <w:tc>
          <w:tcPr>
            <w:tcW w:w="1560" w:type="dxa"/>
            <w:tcBorders>
              <w:top w:val="nil"/>
              <w:left w:val="nil"/>
              <w:bottom w:val="single" w:sz="4"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sz w:val="20"/>
                <w:szCs w:val="20"/>
                <w:lang w:val="uk-UA"/>
              </w:rPr>
            </w:pPr>
            <w:r w:rsidRPr="00932F66">
              <w:rPr>
                <w:sz w:val="20"/>
                <w:szCs w:val="20"/>
                <w:lang w:val="uk-UA"/>
              </w:rPr>
              <w:t>26</w:t>
            </w:r>
          </w:p>
        </w:tc>
        <w:tc>
          <w:tcPr>
            <w:tcW w:w="1260" w:type="dxa"/>
            <w:tcBorders>
              <w:top w:val="nil"/>
              <w:left w:val="nil"/>
              <w:bottom w:val="single" w:sz="4"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sz w:val="20"/>
                <w:szCs w:val="20"/>
                <w:lang w:val="uk-UA"/>
              </w:rPr>
            </w:pPr>
            <w:r w:rsidRPr="00932F66">
              <w:rPr>
                <w:sz w:val="20"/>
                <w:szCs w:val="20"/>
                <w:lang w:val="uk-UA"/>
              </w:rPr>
              <w:t>1</w:t>
            </w:r>
          </w:p>
        </w:tc>
        <w:tc>
          <w:tcPr>
            <w:tcW w:w="1292" w:type="dxa"/>
            <w:tcBorders>
              <w:top w:val="nil"/>
              <w:left w:val="nil"/>
              <w:bottom w:val="single" w:sz="4"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sz w:val="20"/>
                <w:szCs w:val="20"/>
                <w:lang w:val="uk-UA"/>
              </w:rPr>
            </w:pPr>
            <w:r w:rsidRPr="00932F66">
              <w:rPr>
                <w:sz w:val="20"/>
                <w:szCs w:val="20"/>
                <w:lang w:val="uk-UA"/>
              </w:rPr>
              <w:t>13 255</w:t>
            </w:r>
          </w:p>
        </w:tc>
        <w:tc>
          <w:tcPr>
            <w:tcW w:w="1071" w:type="dxa"/>
            <w:tcBorders>
              <w:top w:val="nil"/>
              <w:left w:val="nil"/>
              <w:bottom w:val="single" w:sz="4"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sz w:val="20"/>
                <w:szCs w:val="20"/>
                <w:lang w:val="uk-UA"/>
              </w:rPr>
            </w:pPr>
            <w:r w:rsidRPr="00932F66">
              <w:rPr>
                <w:sz w:val="20"/>
                <w:szCs w:val="20"/>
                <w:lang w:val="uk-UA"/>
              </w:rPr>
              <w:t>103,8%</w:t>
            </w:r>
          </w:p>
        </w:tc>
        <w:tc>
          <w:tcPr>
            <w:tcW w:w="1176" w:type="dxa"/>
            <w:tcBorders>
              <w:top w:val="nil"/>
              <w:left w:val="nil"/>
              <w:bottom w:val="single" w:sz="4" w:space="0" w:color="auto"/>
              <w:right w:val="single" w:sz="8" w:space="0" w:color="auto"/>
            </w:tcBorders>
            <w:shd w:val="clear" w:color="auto" w:fill="auto"/>
            <w:noWrap/>
            <w:vAlign w:val="center"/>
            <w:hideMark/>
          </w:tcPr>
          <w:p w:rsidR="00A57442" w:rsidRPr="00932F66" w:rsidRDefault="00A57442" w:rsidP="00C90243">
            <w:pPr>
              <w:spacing w:line="276" w:lineRule="auto"/>
              <w:ind w:firstLine="34"/>
              <w:jc w:val="center"/>
              <w:rPr>
                <w:sz w:val="20"/>
                <w:szCs w:val="20"/>
                <w:lang w:val="uk-UA"/>
              </w:rPr>
            </w:pPr>
            <w:r w:rsidRPr="00932F66">
              <w:rPr>
                <w:sz w:val="20"/>
                <w:szCs w:val="20"/>
                <w:lang w:val="uk-UA"/>
              </w:rPr>
              <w:t>88,5%</w:t>
            </w:r>
          </w:p>
        </w:tc>
      </w:tr>
      <w:tr w:rsidR="008337AD" w:rsidRPr="00932F66" w:rsidTr="001C2F97">
        <w:trPr>
          <w:trHeight w:val="315"/>
        </w:trPr>
        <w:tc>
          <w:tcPr>
            <w:tcW w:w="99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337AD" w:rsidRPr="00932F66" w:rsidRDefault="00C82A84" w:rsidP="00C90243">
            <w:pPr>
              <w:spacing w:line="276" w:lineRule="auto"/>
              <w:ind w:right="34" w:firstLine="34"/>
              <w:jc w:val="center"/>
              <w:rPr>
                <w:sz w:val="20"/>
                <w:szCs w:val="20"/>
                <w:lang w:val="uk-UA"/>
              </w:rPr>
            </w:pPr>
            <w:r w:rsidRPr="00932F66">
              <w:rPr>
                <w:sz w:val="20"/>
                <w:szCs w:val="20"/>
                <w:lang w:val="uk-UA"/>
              </w:rPr>
              <w:t>*2018 рік</w:t>
            </w:r>
          </w:p>
        </w:tc>
        <w:tc>
          <w:tcPr>
            <w:tcW w:w="1327" w:type="dxa"/>
            <w:tcBorders>
              <w:top w:val="single" w:sz="4" w:space="0" w:color="auto"/>
              <w:left w:val="nil"/>
              <w:bottom w:val="single" w:sz="8" w:space="0" w:color="auto"/>
              <w:right w:val="single" w:sz="8" w:space="0" w:color="auto"/>
            </w:tcBorders>
            <w:shd w:val="clear" w:color="auto" w:fill="auto"/>
            <w:noWrap/>
            <w:vAlign w:val="center"/>
            <w:hideMark/>
          </w:tcPr>
          <w:p w:rsidR="008337AD" w:rsidRPr="00932F66" w:rsidRDefault="00C82A84" w:rsidP="00C90243">
            <w:pPr>
              <w:spacing w:line="276" w:lineRule="auto"/>
              <w:ind w:firstLine="34"/>
              <w:jc w:val="center"/>
              <w:rPr>
                <w:sz w:val="20"/>
                <w:szCs w:val="20"/>
                <w:lang w:val="uk-UA"/>
              </w:rPr>
            </w:pPr>
            <w:r w:rsidRPr="00932F66">
              <w:rPr>
                <w:sz w:val="20"/>
                <w:szCs w:val="20"/>
                <w:lang w:val="uk-UA"/>
              </w:rPr>
              <w:t>7886</w:t>
            </w:r>
          </w:p>
        </w:tc>
        <w:tc>
          <w:tcPr>
            <w:tcW w:w="1224" w:type="dxa"/>
            <w:tcBorders>
              <w:top w:val="single" w:sz="4" w:space="0" w:color="auto"/>
              <w:left w:val="nil"/>
              <w:bottom w:val="single" w:sz="8" w:space="0" w:color="auto"/>
              <w:right w:val="single" w:sz="8" w:space="0" w:color="auto"/>
            </w:tcBorders>
            <w:shd w:val="clear" w:color="auto" w:fill="auto"/>
            <w:noWrap/>
            <w:vAlign w:val="center"/>
            <w:hideMark/>
          </w:tcPr>
          <w:p w:rsidR="008337AD" w:rsidRPr="00932F66" w:rsidRDefault="00C82A84" w:rsidP="00C90243">
            <w:pPr>
              <w:spacing w:line="276" w:lineRule="auto"/>
              <w:ind w:firstLine="34"/>
              <w:jc w:val="center"/>
              <w:rPr>
                <w:sz w:val="20"/>
                <w:szCs w:val="20"/>
                <w:lang w:val="uk-UA"/>
              </w:rPr>
            </w:pPr>
            <w:r w:rsidRPr="00932F66">
              <w:rPr>
                <w:sz w:val="20"/>
                <w:szCs w:val="20"/>
                <w:lang w:val="uk-UA"/>
              </w:rPr>
              <w:t>17</w:t>
            </w: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8337AD" w:rsidRPr="00932F66" w:rsidRDefault="00C82A84" w:rsidP="00C90243">
            <w:pPr>
              <w:spacing w:line="276" w:lineRule="auto"/>
              <w:ind w:firstLine="34"/>
              <w:jc w:val="center"/>
              <w:rPr>
                <w:sz w:val="20"/>
                <w:szCs w:val="20"/>
                <w:lang w:val="uk-UA"/>
              </w:rPr>
            </w:pPr>
            <w:r w:rsidRPr="00932F66">
              <w:rPr>
                <w:sz w:val="20"/>
                <w:szCs w:val="20"/>
                <w:lang w:val="uk-UA"/>
              </w:rPr>
              <w:t>20</w:t>
            </w:r>
          </w:p>
        </w:tc>
        <w:tc>
          <w:tcPr>
            <w:tcW w:w="1260" w:type="dxa"/>
            <w:tcBorders>
              <w:top w:val="single" w:sz="4" w:space="0" w:color="auto"/>
              <w:left w:val="nil"/>
              <w:bottom w:val="single" w:sz="8" w:space="0" w:color="auto"/>
              <w:right w:val="single" w:sz="8" w:space="0" w:color="auto"/>
            </w:tcBorders>
            <w:shd w:val="clear" w:color="auto" w:fill="auto"/>
            <w:noWrap/>
            <w:vAlign w:val="center"/>
            <w:hideMark/>
          </w:tcPr>
          <w:p w:rsidR="008337AD" w:rsidRPr="00932F66" w:rsidRDefault="008337AD" w:rsidP="00C90243">
            <w:pPr>
              <w:spacing w:line="276" w:lineRule="auto"/>
              <w:ind w:firstLine="34"/>
              <w:jc w:val="center"/>
              <w:rPr>
                <w:sz w:val="20"/>
                <w:szCs w:val="20"/>
                <w:lang w:val="uk-UA"/>
              </w:rPr>
            </w:pPr>
          </w:p>
        </w:tc>
        <w:tc>
          <w:tcPr>
            <w:tcW w:w="1292" w:type="dxa"/>
            <w:tcBorders>
              <w:top w:val="single" w:sz="4" w:space="0" w:color="auto"/>
              <w:left w:val="nil"/>
              <w:bottom w:val="single" w:sz="8" w:space="0" w:color="auto"/>
              <w:right w:val="single" w:sz="8" w:space="0" w:color="auto"/>
            </w:tcBorders>
            <w:shd w:val="clear" w:color="auto" w:fill="auto"/>
            <w:noWrap/>
            <w:vAlign w:val="center"/>
            <w:hideMark/>
          </w:tcPr>
          <w:p w:rsidR="008337AD" w:rsidRPr="00932F66" w:rsidRDefault="00C82A84" w:rsidP="00C90243">
            <w:pPr>
              <w:spacing w:line="276" w:lineRule="auto"/>
              <w:ind w:firstLine="34"/>
              <w:jc w:val="center"/>
              <w:rPr>
                <w:sz w:val="20"/>
                <w:szCs w:val="20"/>
                <w:lang w:val="uk-UA"/>
              </w:rPr>
            </w:pPr>
            <w:r w:rsidRPr="00932F66">
              <w:rPr>
                <w:sz w:val="20"/>
                <w:szCs w:val="20"/>
                <w:lang w:val="uk-UA"/>
              </w:rPr>
              <w:t>7923</w:t>
            </w:r>
          </w:p>
        </w:tc>
        <w:tc>
          <w:tcPr>
            <w:tcW w:w="1071" w:type="dxa"/>
            <w:tcBorders>
              <w:top w:val="single" w:sz="4" w:space="0" w:color="auto"/>
              <w:left w:val="nil"/>
              <w:bottom w:val="single" w:sz="8" w:space="0" w:color="auto"/>
              <w:right w:val="single" w:sz="8" w:space="0" w:color="auto"/>
            </w:tcBorders>
            <w:shd w:val="clear" w:color="auto" w:fill="auto"/>
            <w:noWrap/>
            <w:vAlign w:val="center"/>
            <w:hideMark/>
          </w:tcPr>
          <w:p w:rsidR="008337AD" w:rsidRPr="00932F66" w:rsidRDefault="008337AD" w:rsidP="00C90243">
            <w:pPr>
              <w:spacing w:line="276" w:lineRule="auto"/>
              <w:ind w:firstLine="34"/>
              <w:jc w:val="center"/>
              <w:rPr>
                <w:sz w:val="20"/>
                <w:szCs w:val="20"/>
                <w:lang w:val="uk-UA"/>
              </w:rPr>
            </w:pPr>
          </w:p>
        </w:tc>
        <w:tc>
          <w:tcPr>
            <w:tcW w:w="1176" w:type="dxa"/>
            <w:tcBorders>
              <w:top w:val="single" w:sz="4" w:space="0" w:color="auto"/>
              <w:left w:val="nil"/>
              <w:bottom w:val="single" w:sz="8" w:space="0" w:color="auto"/>
              <w:right w:val="single" w:sz="8" w:space="0" w:color="auto"/>
            </w:tcBorders>
            <w:shd w:val="clear" w:color="auto" w:fill="auto"/>
            <w:noWrap/>
            <w:vAlign w:val="center"/>
            <w:hideMark/>
          </w:tcPr>
          <w:p w:rsidR="008337AD" w:rsidRPr="00932F66" w:rsidRDefault="008337AD" w:rsidP="00C90243">
            <w:pPr>
              <w:spacing w:line="276" w:lineRule="auto"/>
              <w:ind w:firstLine="34"/>
              <w:jc w:val="center"/>
              <w:rPr>
                <w:sz w:val="20"/>
                <w:szCs w:val="20"/>
                <w:lang w:val="uk-UA"/>
              </w:rPr>
            </w:pPr>
          </w:p>
        </w:tc>
      </w:tr>
    </w:tbl>
    <w:p w:rsidR="00A57442" w:rsidRPr="00932F66" w:rsidRDefault="00A57442" w:rsidP="00C90243">
      <w:pPr>
        <w:pStyle w:val="aa"/>
        <w:spacing w:line="276" w:lineRule="auto"/>
        <w:ind w:firstLine="709"/>
        <w:jc w:val="both"/>
        <w:rPr>
          <w:b w:val="0"/>
        </w:rPr>
      </w:pPr>
    </w:p>
    <w:p w:rsidR="00D32167" w:rsidRPr="00932F66" w:rsidRDefault="00D32167" w:rsidP="00D32167">
      <w:pPr>
        <w:pStyle w:val="aa"/>
        <w:spacing w:line="276" w:lineRule="auto"/>
        <w:ind w:firstLine="709"/>
        <w:jc w:val="both"/>
        <w:rPr>
          <w:b w:val="0"/>
          <w:sz w:val="24"/>
          <w:szCs w:val="24"/>
        </w:rPr>
      </w:pPr>
      <w:r w:rsidRPr="00932F66">
        <w:rPr>
          <w:b w:val="0"/>
          <w:sz w:val="24"/>
          <w:szCs w:val="24"/>
        </w:rPr>
        <w:t xml:space="preserve">* </w:t>
      </w:r>
      <w:r>
        <w:rPr>
          <w:b w:val="0"/>
          <w:sz w:val="24"/>
          <w:szCs w:val="24"/>
        </w:rPr>
        <w:t>За</w:t>
      </w:r>
      <w:r w:rsidRPr="00932F66">
        <w:rPr>
          <w:b w:val="0"/>
          <w:sz w:val="24"/>
          <w:szCs w:val="24"/>
        </w:rPr>
        <w:t xml:space="preserve"> період з 01.01.</w:t>
      </w:r>
      <w:r>
        <w:rPr>
          <w:b w:val="0"/>
          <w:sz w:val="24"/>
          <w:szCs w:val="24"/>
        </w:rPr>
        <w:t>2018</w:t>
      </w:r>
      <w:r w:rsidRPr="00932F66">
        <w:rPr>
          <w:b w:val="0"/>
          <w:sz w:val="24"/>
          <w:szCs w:val="24"/>
        </w:rPr>
        <w:t xml:space="preserve"> по 02.10.2018р.</w:t>
      </w:r>
    </w:p>
    <w:p w:rsidR="000C6BAF" w:rsidRPr="00932F66" w:rsidRDefault="000C6BAF" w:rsidP="00C90243">
      <w:pPr>
        <w:pStyle w:val="aa"/>
        <w:spacing w:line="276" w:lineRule="auto"/>
        <w:ind w:firstLine="709"/>
        <w:jc w:val="both"/>
        <w:rPr>
          <w:b w:val="0"/>
          <w:sz w:val="24"/>
          <w:szCs w:val="24"/>
        </w:rPr>
      </w:pPr>
    </w:p>
    <w:p w:rsidR="00A57442" w:rsidRPr="00932F66" w:rsidRDefault="00A57442" w:rsidP="00C90243">
      <w:pPr>
        <w:pStyle w:val="aa"/>
        <w:spacing w:line="276" w:lineRule="auto"/>
        <w:ind w:firstLine="709"/>
        <w:jc w:val="both"/>
      </w:pPr>
      <w:r w:rsidRPr="00932F66">
        <w:rPr>
          <w:b w:val="0"/>
        </w:rPr>
        <w:t>Упродовж 201</w:t>
      </w:r>
      <w:r w:rsidR="00C82A84" w:rsidRPr="00932F66">
        <w:rPr>
          <w:b w:val="0"/>
        </w:rPr>
        <w:t>8</w:t>
      </w:r>
      <w:r w:rsidRPr="00932F66">
        <w:rPr>
          <w:b w:val="0"/>
        </w:rPr>
        <w:t xml:space="preserve"> року розглянуто </w:t>
      </w:r>
      <w:r w:rsidR="00C82A84" w:rsidRPr="00932F66">
        <w:t xml:space="preserve">7923 </w:t>
      </w:r>
      <w:r w:rsidRPr="00932F66">
        <w:rPr>
          <w:b w:val="0"/>
        </w:rPr>
        <w:t>справ</w:t>
      </w:r>
      <w:r w:rsidR="00C82A84" w:rsidRPr="00932F66">
        <w:rPr>
          <w:b w:val="0"/>
        </w:rPr>
        <w:t>и та матеріали</w:t>
      </w:r>
      <w:r w:rsidRPr="00932F66">
        <w:rPr>
          <w:b w:val="0"/>
        </w:rPr>
        <w:t xml:space="preserve"> із загальної кількості справ (</w:t>
      </w:r>
      <w:r w:rsidR="008F520C" w:rsidRPr="00932F66">
        <w:t>9233</w:t>
      </w:r>
      <w:r w:rsidRPr="00932F66">
        <w:rPr>
          <w:b w:val="0"/>
        </w:rPr>
        <w:t xml:space="preserve">), що перебували на розгляді. </w:t>
      </w:r>
    </w:p>
    <w:p w:rsidR="00A57442" w:rsidRPr="00932F66" w:rsidRDefault="00A57442" w:rsidP="000254CE">
      <w:pPr>
        <w:pStyle w:val="aa"/>
        <w:spacing w:line="276" w:lineRule="auto"/>
        <w:ind w:firstLine="709"/>
        <w:jc w:val="both"/>
        <w:rPr>
          <w:b w:val="0"/>
        </w:rPr>
      </w:pPr>
      <w:r w:rsidRPr="00932F66">
        <w:rPr>
          <w:b w:val="0"/>
        </w:rPr>
        <w:t xml:space="preserve">Напрацювання сталої судової практики розгляду окремих категорій справ, постійний моніторинг та підвищення якості роботи колективу суду дозволило </w:t>
      </w:r>
      <w:r w:rsidRPr="00932F66">
        <w:rPr>
          <w:b w:val="0"/>
        </w:rPr>
        <w:lastRenderedPageBreak/>
        <w:t xml:space="preserve">забезпечити розгляд </w:t>
      </w:r>
      <w:r w:rsidR="008F520C" w:rsidRPr="00932F66">
        <w:t>85,8</w:t>
      </w:r>
      <w:r w:rsidRPr="00932F66">
        <w:rPr>
          <w:b w:val="0"/>
        </w:rPr>
        <w:t>% справ та матеріалів, що перебували у Львівському апеляційному адміністративному суді упродовж 201</w:t>
      </w:r>
      <w:r w:rsidR="008F520C" w:rsidRPr="00932F66">
        <w:rPr>
          <w:b w:val="0"/>
        </w:rPr>
        <w:t>8</w:t>
      </w:r>
      <w:r w:rsidRPr="00932F66">
        <w:rPr>
          <w:b w:val="0"/>
        </w:rPr>
        <w:t xml:space="preserve"> року. </w:t>
      </w:r>
    </w:p>
    <w:p w:rsidR="00A57442" w:rsidRPr="00932F66" w:rsidRDefault="00A57442" w:rsidP="00C90243">
      <w:pPr>
        <w:pStyle w:val="aa"/>
        <w:spacing w:line="276" w:lineRule="auto"/>
        <w:ind w:firstLine="709"/>
        <w:jc w:val="right"/>
      </w:pPr>
      <w:r w:rsidRPr="00932F66">
        <w:t xml:space="preserve">Таблиця </w:t>
      </w:r>
      <w:r w:rsidR="001C2F97" w:rsidRPr="00932F66">
        <w:t>4</w:t>
      </w:r>
    </w:p>
    <w:tbl>
      <w:tblPr>
        <w:tblW w:w="9960" w:type="dxa"/>
        <w:tblInd w:w="93" w:type="dxa"/>
        <w:tblLayout w:type="fixed"/>
        <w:tblLook w:val="04A0"/>
      </w:tblPr>
      <w:tblGrid>
        <w:gridCol w:w="1149"/>
        <w:gridCol w:w="1418"/>
        <w:gridCol w:w="1418"/>
        <w:gridCol w:w="1556"/>
        <w:gridCol w:w="1429"/>
        <w:gridCol w:w="1251"/>
        <w:gridCol w:w="1331"/>
        <w:gridCol w:w="408"/>
      </w:tblGrid>
      <w:tr w:rsidR="00A57442" w:rsidRPr="00932F66" w:rsidTr="008F520C">
        <w:tc>
          <w:tcPr>
            <w:tcW w:w="9960" w:type="dxa"/>
            <w:gridSpan w:val="8"/>
          </w:tcPr>
          <w:p w:rsidR="00A57442" w:rsidRPr="00932F66" w:rsidRDefault="00A57442" w:rsidP="00C90243">
            <w:pPr>
              <w:pStyle w:val="aa"/>
              <w:spacing w:line="276" w:lineRule="auto"/>
              <w:ind w:firstLine="709"/>
            </w:pPr>
            <w:r w:rsidRPr="00932F66">
              <w:t>Показники залишку справ та матеріалів</w:t>
            </w:r>
          </w:p>
          <w:p w:rsidR="00A57442" w:rsidRPr="00932F66" w:rsidRDefault="00A57442" w:rsidP="00C90243">
            <w:pPr>
              <w:pStyle w:val="aa"/>
              <w:spacing w:line="276" w:lineRule="auto"/>
              <w:ind w:firstLine="709"/>
            </w:pPr>
            <w:r w:rsidRPr="00932F66">
              <w:t xml:space="preserve">на кінець звітного періоду </w:t>
            </w:r>
          </w:p>
          <w:p w:rsidR="00A57442" w:rsidRPr="00932F66" w:rsidRDefault="00A57442" w:rsidP="00C90243">
            <w:pPr>
              <w:pStyle w:val="aa"/>
              <w:spacing w:line="276" w:lineRule="auto"/>
              <w:ind w:firstLine="709"/>
            </w:pPr>
            <w:r w:rsidRPr="00932F66">
              <w:t>у Львівському апеляційному адміністративному суді</w:t>
            </w:r>
          </w:p>
          <w:p w:rsidR="00A57442" w:rsidRPr="00932F66" w:rsidRDefault="00A57442" w:rsidP="00C90243">
            <w:pPr>
              <w:pStyle w:val="aa"/>
              <w:spacing w:line="276" w:lineRule="auto"/>
              <w:ind w:firstLine="709"/>
            </w:pPr>
            <w:r w:rsidRPr="00932F66">
              <w:t>упродовж 2007</w:t>
            </w:r>
            <w:r w:rsidR="007A69E6" w:rsidRPr="00932F66">
              <w:t>- 2018</w:t>
            </w:r>
            <w:r w:rsidRPr="00932F66">
              <w:t xml:space="preserve"> років</w:t>
            </w:r>
          </w:p>
          <w:p w:rsidR="007A69E6" w:rsidRPr="00932F66" w:rsidRDefault="007A69E6" w:rsidP="00C90243">
            <w:pPr>
              <w:pStyle w:val="aa"/>
              <w:spacing w:line="276" w:lineRule="auto"/>
              <w:ind w:firstLine="709"/>
            </w:pPr>
          </w:p>
        </w:tc>
      </w:tr>
      <w:tr w:rsidR="00A57442" w:rsidRPr="00932F66" w:rsidTr="008F520C">
        <w:trPr>
          <w:gridAfter w:val="1"/>
          <w:wAfter w:w="408" w:type="dxa"/>
          <w:trHeight w:val="1268"/>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442" w:rsidRPr="00932F66" w:rsidRDefault="00A57442" w:rsidP="00C90243">
            <w:pPr>
              <w:spacing w:line="276" w:lineRule="auto"/>
              <w:rPr>
                <w:lang w:val="uk-UA"/>
              </w:rPr>
            </w:pPr>
            <w:r w:rsidRPr="00932F66">
              <w:rPr>
                <w:sz w:val="22"/>
                <w:szCs w:val="22"/>
                <w:lang w:val="uk-UA"/>
              </w:rPr>
              <w:t>Період</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Залишок апеляційних скарг на кінець звітного періоду</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Залишок позовних заяв\ справ на кінець звітного періоду</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Залишок заяв про перегляд судового рішення за ново- виявленими обставинами</w:t>
            </w:r>
          </w:p>
        </w:tc>
        <w:tc>
          <w:tcPr>
            <w:tcW w:w="14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ВСЬОГО залишок справ та матеріалів на кінець звітного періоду</w:t>
            </w:r>
          </w:p>
        </w:tc>
        <w:tc>
          <w:tcPr>
            <w:tcW w:w="2582" w:type="dxa"/>
            <w:gridSpan w:val="2"/>
            <w:tcBorders>
              <w:top w:val="single" w:sz="8" w:space="0" w:color="auto"/>
              <w:left w:val="nil"/>
              <w:bottom w:val="single" w:sz="8" w:space="0" w:color="auto"/>
              <w:right w:val="single" w:sz="8" w:space="0" w:color="000000"/>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Динаміка залишку справ та матеріалів (по відношенню по попереднього рядка)</w:t>
            </w:r>
          </w:p>
        </w:tc>
      </w:tr>
      <w:tr w:rsidR="00A57442" w:rsidRPr="00932F66" w:rsidTr="008F520C">
        <w:trPr>
          <w:gridAfter w:val="1"/>
          <w:wAfter w:w="408" w:type="dxa"/>
          <w:trHeight w:val="747"/>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rPr>
                <w:lang w:val="uk-UA"/>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rPr>
                <w:lang w:val="uk-UA"/>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rPr>
                <w:lang w:val="uk-UA"/>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rPr>
                <w:lang w:val="uk-UA"/>
              </w:rPr>
            </w:pPr>
          </w:p>
        </w:tc>
        <w:tc>
          <w:tcPr>
            <w:tcW w:w="1429" w:type="dxa"/>
            <w:vMerge/>
            <w:tcBorders>
              <w:top w:val="single" w:sz="8" w:space="0" w:color="auto"/>
              <w:left w:val="single" w:sz="8" w:space="0" w:color="auto"/>
              <w:bottom w:val="single" w:sz="8" w:space="0" w:color="000000"/>
              <w:right w:val="single" w:sz="8" w:space="0" w:color="auto"/>
            </w:tcBorders>
            <w:vAlign w:val="center"/>
            <w:hideMark/>
          </w:tcPr>
          <w:p w:rsidR="00A57442" w:rsidRPr="00932F66" w:rsidRDefault="00A57442" w:rsidP="00C90243">
            <w:pPr>
              <w:spacing w:line="276" w:lineRule="auto"/>
              <w:rPr>
                <w:lang w:val="uk-UA"/>
              </w:rPr>
            </w:pPr>
          </w:p>
        </w:tc>
        <w:tc>
          <w:tcPr>
            <w:tcW w:w="125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абс.</w:t>
            </w:r>
          </w:p>
        </w:tc>
        <w:tc>
          <w:tcPr>
            <w:tcW w:w="133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w:t>
            </w:r>
          </w:p>
        </w:tc>
      </w:tr>
      <w:tr w:rsidR="00A57442" w:rsidRPr="00932F66" w:rsidTr="008F520C">
        <w:trPr>
          <w:gridAfter w:val="1"/>
          <w:wAfter w:w="408" w:type="dxa"/>
          <w:trHeight w:val="206"/>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А</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2</w:t>
            </w:r>
          </w:p>
        </w:tc>
        <w:tc>
          <w:tcPr>
            <w:tcW w:w="155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3</w:t>
            </w:r>
          </w:p>
        </w:tc>
        <w:tc>
          <w:tcPr>
            <w:tcW w:w="1429"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4</w:t>
            </w:r>
          </w:p>
        </w:tc>
        <w:tc>
          <w:tcPr>
            <w:tcW w:w="125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5</w:t>
            </w:r>
          </w:p>
        </w:tc>
        <w:tc>
          <w:tcPr>
            <w:tcW w:w="133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6</w:t>
            </w:r>
          </w:p>
        </w:tc>
      </w:tr>
      <w:tr w:rsidR="00A57442" w:rsidRPr="00932F66" w:rsidTr="008F520C">
        <w:trPr>
          <w:gridAfter w:val="1"/>
          <w:wAfter w:w="408" w:type="dxa"/>
          <w:trHeight w:val="54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sz w:val="20"/>
                <w:szCs w:val="20"/>
                <w:lang w:val="uk-UA"/>
              </w:rPr>
            </w:pPr>
            <w:r w:rsidRPr="00932F66">
              <w:rPr>
                <w:sz w:val="20"/>
                <w:szCs w:val="20"/>
                <w:lang w:val="uk-UA"/>
              </w:rPr>
              <w:t>2007 рік</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3 607</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0</w:t>
            </w:r>
          </w:p>
        </w:tc>
        <w:tc>
          <w:tcPr>
            <w:tcW w:w="155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9</w:t>
            </w:r>
          </w:p>
        </w:tc>
        <w:tc>
          <w:tcPr>
            <w:tcW w:w="1429"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3 616</w:t>
            </w:r>
          </w:p>
        </w:tc>
        <w:tc>
          <w:tcPr>
            <w:tcW w:w="125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 </w:t>
            </w:r>
          </w:p>
        </w:tc>
        <w:tc>
          <w:tcPr>
            <w:tcW w:w="133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 </w:t>
            </w:r>
          </w:p>
        </w:tc>
      </w:tr>
      <w:tr w:rsidR="00A57442" w:rsidRPr="00932F66" w:rsidTr="008F520C">
        <w:trPr>
          <w:gridAfter w:val="1"/>
          <w:wAfter w:w="408" w:type="dxa"/>
          <w:trHeight w:val="46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sz w:val="20"/>
                <w:szCs w:val="20"/>
                <w:lang w:val="uk-UA"/>
              </w:rPr>
            </w:pPr>
            <w:r w:rsidRPr="00932F66">
              <w:rPr>
                <w:sz w:val="20"/>
                <w:szCs w:val="20"/>
                <w:lang w:val="uk-UA"/>
              </w:rPr>
              <w:t>2008 рік</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10 193</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0</w:t>
            </w:r>
          </w:p>
        </w:tc>
        <w:tc>
          <w:tcPr>
            <w:tcW w:w="155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7</w:t>
            </w:r>
          </w:p>
        </w:tc>
        <w:tc>
          <w:tcPr>
            <w:tcW w:w="1429"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10 200</w:t>
            </w:r>
          </w:p>
        </w:tc>
        <w:tc>
          <w:tcPr>
            <w:tcW w:w="125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6 584</w:t>
            </w:r>
          </w:p>
        </w:tc>
        <w:tc>
          <w:tcPr>
            <w:tcW w:w="133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182,1%</w:t>
            </w:r>
          </w:p>
        </w:tc>
      </w:tr>
      <w:tr w:rsidR="00A57442" w:rsidRPr="00932F66" w:rsidTr="008F520C">
        <w:trPr>
          <w:gridAfter w:val="1"/>
          <w:wAfter w:w="408" w:type="dxa"/>
          <w:trHeight w:val="45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sz w:val="20"/>
                <w:szCs w:val="20"/>
                <w:lang w:val="uk-UA"/>
              </w:rPr>
            </w:pPr>
            <w:r w:rsidRPr="00932F66">
              <w:rPr>
                <w:sz w:val="20"/>
                <w:szCs w:val="20"/>
                <w:lang w:val="uk-UA"/>
              </w:rPr>
              <w:t>2009 рік</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83 451</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0</w:t>
            </w:r>
          </w:p>
        </w:tc>
        <w:tc>
          <w:tcPr>
            <w:tcW w:w="155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14</w:t>
            </w:r>
          </w:p>
        </w:tc>
        <w:tc>
          <w:tcPr>
            <w:tcW w:w="1429"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83 465</w:t>
            </w:r>
          </w:p>
        </w:tc>
        <w:tc>
          <w:tcPr>
            <w:tcW w:w="125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73 265</w:t>
            </w:r>
          </w:p>
        </w:tc>
        <w:tc>
          <w:tcPr>
            <w:tcW w:w="133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718,3%</w:t>
            </w:r>
          </w:p>
        </w:tc>
      </w:tr>
      <w:tr w:rsidR="00A57442" w:rsidRPr="00932F66" w:rsidTr="008F520C">
        <w:trPr>
          <w:gridAfter w:val="1"/>
          <w:wAfter w:w="408" w:type="dxa"/>
          <w:trHeight w:val="49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sz w:val="20"/>
                <w:szCs w:val="20"/>
                <w:lang w:val="uk-UA"/>
              </w:rPr>
            </w:pPr>
            <w:r w:rsidRPr="00932F66">
              <w:rPr>
                <w:sz w:val="20"/>
                <w:szCs w:val="20"/>
                <w:lang w:val="uk-UA"/>
              </w:rPr>
              <w:t>2010 рік</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69 428</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6</w:t>
            </w:r>
          </w:p>
        </w:tc>
        <w:tc>
          <w:tcPr>
            <w:tcW w:w="155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19</w:t>
            </w:r>
          </w:p>
        </w:tc>
        <w:tc>
          <w:tcPr>
            <w:tcW w:w="1429"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69 453</w:t>
            </w:r>
          </w:p>
        </w:tc>
        <w:tc>
          <w:tcPr>
            <w:tcW w:w="125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-14 012</w:t>
            </w:r>
          </w:p>
        </w:tc>
        <w:tc>
          <w:tcPr>
            <w:tcW w:w="133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-16,8%</w:t>
            </w:r>
          </w:p>
        </w:tc>
      </w:tr>
      <w:tr w:rsidR="00A57442" w:rsidRPr="00932F66" w:rsidTr="008F520C">
        <w:trPr>
          <w:gridAfter w:val="1"/>
          <w:wAfter w:w="408" w:type="dxa"/>
          <w:trHeight w:val="54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sz w:val="20"/>
                <w:szCs w:val="20"/>
                <w:lang w:val="uk-UA"/>
              </w:rPr>
            </w:pPr>
            <w:r w:rsidRPr="00932F66">
              <w:rPr>
                <w:sz w:val="20"/>
                <w:szCs w:val="20"/>
                <w:lang w:val="uk-UA"/>
              </w:rPr>
              <w:t>2011 рік</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141 954</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w:t>
            </w:r>
          </w:p>
        </w:tc>
        <w:tc>
          <w:tcPr>
            <w:tcW w:w="155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23</w:t>
            </w:r>
          </w:p>
        </w:tc>
        <w:tc>
          <w:tcPr>
            <w:tcW w:w="1429"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141 978</w:t>
            </w:r>
          </w:p>
        </w:tc>
        <w:tc>
          <w:tcPr>
            <w:tcW w:w="125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72 525</w:t>
            </w:r>
          </w:p>
        </w:tc>
        <w:tc>
          <w:tcPr>
            <w:tcW w:w="133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104,4%</w:t>
            </w:r>
          </w:p>
        </w:tc>
      </w:tr>
      <w:tr w:rsidR="00A57442" w:rsidRPr="00932F66" w:rsidTr="008F520C">
        <w:trPr>
          <w:gridAfter w:val="1"/>
          <w:wAfter w:w="408" w:type="dxa"/>
          <w:trHeight w:val="51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sz w:val="20"/>
                <w:szCs w:val="20"/>
                <w:lang w:val="uk-UA"/>
              </w:rPr>
            </w:pPr>
            <w:r w:rsidRPr="00932F66">
              <w:rPr>
                <w:sz w:val="20"/>
                <w:szCs w:val="20"/>
                <w:lang w:val="uk-UA"/>
              </w:rPr>
              <w:t>2012 рік</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187 664</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0</w:t>
            </w:r>
          </w:p>
        </w:tc>
        <w:tc>
          <w:tcPr>
            <w:tcW w:w="155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37</w:t>
            </w:r>
          </w:p>
        </w:tc>
        <w:tc>
          <w:tcPr>
            <w:tcW w:w="1429"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187 701</w:t>
            </w:r>
          </w:p>
        </w:tc>
        <w:tc>
          <w:tcPr>
            <w:tcW w:w="125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45 723</w:t>
            </w:r>
          </w:p>
        </w:tc>
        <w:tc>
          <w:tcPr>
            <w:tcW w:w="133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32,2%</w:t>
            </w:r>
          </w:p>
        </w:tc>
      </w:tr>
      <w:tr w:rsidR="00A57442" w:rsidRPr="00932F66" w:rsidTr="008F520C">
        <w:trPr>
          <w:gridAfter w:val="1"/>
          <w:wAfter w:w="408" w:type="dxa"/>
          <w:trHeight w:val="52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sz w:val="20"/>
                <w:szCs w:val="20"/>
                <w:lang w:val="uk-UA"/>
              </w:rPr>
            </w:pPr>
            <w:r w:rsidRPr="00932F66">
              <w:rPr>
                <w:sz w:val="20"/>
                <w:szCs w:val="20"/>
                <w:lang w:val="uk-UA"/>
              </w:rPr>
              <w:t>2013 рік</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51 317</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0</w:t>
            </w:r>
          </w:p>
        </w:tc>
        <w:tc>
          <w:tcPr>
            <w:tcW w:w="155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23</w:t>
            </w:r>
          </w:p>
        </w:tc>
        <w:tc>
          <w:tcPr>
            <w:tcW w:w="1429"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51 340</w:t>
            </w:r>
          </w:p>
        </w:tc>
        <w:tc>
          <w:tcPr>
            <w:tcW w:w="125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-136 361</w:t>
            </w:r>
          </w:p>
        </w:tc>
        <w:tc>
          <w:tcPr>
            <w:tcW w:w="133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-72,6%</w:t>
            </w:r>
          </w:p>
        </w:tc>
      </w:tr>
      <w:tr w:rsidR="00A57442" w:rsidRPr="00932F66" w:rsidTr="008F520C">
        <w:trPr>
          <w:gridAfter w:val="1"/>
          <w:wAfter w:w="408" w:type="dxa"/>
          <w:trHeight w:val="48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sz w:val="20"/>
                <w:szCs w:val="20"/>
                <w:lang w:val="uk-UA"/>
              </w:rPr>
            </w:pPr>
            <w:r w:rsidRPr="00932F66">
              <w:rPr>
                <w:sz w:val="20"/>
                <w:szCs w:val="20"/>
                <w:lang w:val="uk-UA"/>
              </w:rPr>
              <w:t>2014 рік</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10 135</w:t>
            </w:r>
          </w:p>
        </w:tc>
        <w:tc>
          <w:tcPr>
            <w:tcW w:w="1418"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0</w:t>
            </w:r>
          </w:p>
        </w:tc>
        <w:tc>
          <w:tcPr>
            <w:tcW w:w="1556"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15</w:t>
            </w:r>
          </w:p>
        </w:tc>
        <w:tc>
          <w:tcPr>
            <w:tcW w:w="1429"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10 150</w:t>
            </w:r>
          </w:p>
        </w:tc>
        <w:tc>
          <w:tcPr>
            <w:tcW w:w="125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-41 190</w:t>
            </w:r>
          </w:p>
        </w:tc>
        <w:tc>
          <w:tcPr>
            <w:tcW w:w="1331" w:type="dxa"/>
            <w:tcBorders>
              <w:top w:val="nil"/>
              <w:left w:val="nil"/>
              <w:bottom w:val="single" w:sz="8"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-80,2%</w:t>
            </w:r>
          </w:p>
        </w:tc>
      </w:tr>
      <w:tr w:rsidR="00A57442" w:rsidRPr="00932F66" w:rsidTr="008F520C">
        <w:trPr>
          <w:gridAfter w:val="1"/>
          <w:wAfter w:w="408" w:type="dxa"/>
          <w:trHeight w:val="480"/>
        </w:trPr>
        <w:tc>
          <w:tcPr>
            <w:tcW w:w="1149" w:type="dxa"/>
            <w:tcBorders>
              <w:top w:val="nil"/>
              <w:left w:val="single" w:sz="8" w:space="0" w:color="auto"/>
              <w:bottom w:val="single" w:sz="4" w:space="0" w:color="auto"/>
              <w:right w:val="single" w:sz="8" w:space="0" w:color="auto"/>
            </w:tcBorders>
            <w:shd w:val="clear" w:color="auto" w:fill="auto"/>
            <w:vAlign w:val="center"/>
            <w:hideMark/>
          </w:tcPr>
          <w:p w:rsidR="00A57442" w:rsidRPr="00932F66" w:rsidRDefault="00A57442" w:rsidP="00C90243">
            <w:pPr>
              <w:spacing w:line="276" w:lineRule="auto"/>
              <w:jc w:val="center"/>
              <w:rPr>
                <w:sz w:val="20"/>
                <w:szCs w:val="20"/>
                <w:lang w:val="uk-UA"/>
              </w:rPr>
            </w:pPr>
            <w:r w:rsidRPr="00932F66">
              <w:rPr>
                <w:sz w:val="20"/>
                <w:szCs w:val="20"/>
                <w:lang w:val="uk-UA"/>
              </w:rPr>
              <w:t>2015 рік</w:t>
            </w:r>
          </w:p>
        </w:tc>
        <w:tc>
          <w:tcPr>
            <w:tcW w:w="1418" w:type="dxa"/>
            <w:tcBorders>
              <w:top w:val="nil"/>
              <w:left w:val="nil"/>
              <w:bottom w:val="single" w:sz="4"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3 903</w:t>
            </w:r>
          </w:p>
        </w:tc>
        <w:tc>
          <w:tcPr>
            <w:tcW w:w="1418" w:type="dxa"/>
            <w:tcBorders>
              <w:top w:val="nil"/>
              <w:left w:val="nil"/>
              <w:bottom w:val="single" w:sz="4"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w:t>
            </w:r>
          </w:p>
        </w:tc>
        <w:tc>
          <w:tcPr>
            <w:tcW w:w="1556" w:type="dxa"/>
            <w:tcBorders>
              <w:top w:val="nil"/>
              <w:left w:val="nil"/>
              <w:bottom w:val="single" w:sz="4"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13</w:t>
            </w:r>
          </w:p>
        </w:tc>
        <w:tc>
          <w:tcPr>
            <w:tcW w:w="1429" w:type="dxa"/>
            <w:tcBorders>
              <w:top w:val="nil"/>
              <w:left w:val="nil"/>
              <w:bottom w:val="single" w:sz="4"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3 917</w:t>
            </w:r>
          </w:p>
        </w:tc>
        <w:tc>
          <w:tcPr>
            <w:tcW w:w="1251" w:type="dxa"/>
            <w:tcBorders>
              <w:top w:val="nil"/>
              <w:left w:val="nil"/>
              <w:bottom w:val="single" w:sz="4"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-6 233</w:t>
            </w:r>
          </w:p>
        </w:tc>
        <w:tc>
          <w:tcPr>
            <w:tcW w:w="1331" w:type="dxa"/>
            <w:tcBorders>
              <w:top w:val="nil"/>
              <w:left w:val="nil"/>
              <w:bottom w:val="single" w:sz="4" w:space="0" w:color="auto"/>
              <w:right w:val="single" w:sz="8"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-61,4%</w:t>
            </w:r>
          </w:p>
        </w:tc>
      </w:tr>
      <w:tr w:rsidR="00A57442" w:rsidRPr="00932F66" w:rsidTr="008F520C">
        <w:trPr>
          <w:gridAfter w:val="1"/>
          <w:wAfter w:w="408" w:type="dxa"/>
          <w:trHeight w:val="48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sz w:val="20"/>
                <w:szCs w:val="20"/>
                <w:lang w:val="uk-UA"/>
              </w:rPr>
            </w:pPr>
            <w:r w:rsidRPr="00932F66">
              <w:rPr>
                <w:sz w:val="20"/>
                <w:szCs w:val="20"/>
                <w:lang w:val="uk-UA"/>
              </w:rPr>
              <w:t>2016 рік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2 202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2 210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-1 707</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-43,6%</w:t>
            </w:r>
          </w:p>
        </w:tc>
      </w:tr>
      <w:tr w:rsidR="00A57442" w:rsidRPr="00932F66" w:rsidTr="008F520C">
        <w:trPr>
          <w:gridAfter w:val="1"/>
          <w:wAfter w:w="408" w:type="dxa"/>
          <w:trHeight w:val="48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sz w:val="20"/>
                <w:szCs w:val="20"/>
                <w:lang w:val="uk-UA"/>
              </w:rPr>
            </w:pPr>
            <w:r w:rsidRPr="00932F66">
              <w:rPr>
                <w:sz w:val="20"/>
                <w:szCs w:val="20"/>
                <w:lang w:val="uk-UA"/>
              </w:rPr>
              <w:t>2017 рік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1 707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16</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1 728</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-482</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442" w:rsidRPr="00932F66" w:rsidRDefault="00A57442" w:rsidP="00C90243">
            <w:pPr>
              <w:spacing w:line="276" w:lineRule="auto"/>
              <w:jc w:val="center"/>
              <w:rPr>
                <w:lang w:val="uk-UA"/>
              </w:rPr>
            </w:pPr>
            <w:r w:rsidRPr="00932F66">
              <w:rPr>
                <w:sz w:val="22"/>
                <w:szCs w:val="22"/>
                <w:lang w:val="uk-UA"/>
              </w:rPr>
              <w:t>-21,8%</w:t>
            </w:r>
          </w:p>
        </w:tc>
      </w:tr>
      <w:tr w:rsidR="008F520C" w:rsidRPr="00932F66" w:rsidTr="008F520C">
        <w:trPr>
          <w:gridAfter w:val="1"/>
          <w:wAfter w:w="408" w:type="dxa"/>
          <w:trHeight w:val="48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20C" w:rsidRPr="00932F66" w:rsidRDefault="000C6BAF" w:rsidP="00C90243">
            <w:pPr>
              <w:spacing w:line="276" w:lineRule="auto"/>
              <w:jc w:val="center"/>
              <w:rPr>
                <w:sz w:val="20"/>
                <w:szCs w:val="20"/>
                <w:lang w:val="uk-UA"/>
              </w:rPr>
            </w:pPr>
            <w:r w:rsidRPr="00932F66">
              <w:rPr>
                <w:sz w:val="20"/>
                <w:szCs w:val="20"/>
                <w:lang w:val="uk-UA"/>
              </w:rPr>
              <w:t>*</w:t>
            </w:r>
            <w:r w:rsidR="008F520C" w:rsidRPr="00932F66">
              <w:rPr>
                <w:sz w:val="20"/>
                <w:szCs w:val="20"/>
                <w:lang w:val="uk-UA"/>
              </w:rPr>
              <w:t>2018 рік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20C" w:rsidRPr="00932F66" w:rsidRDefault="008F520C" w:rsidP="00C90243">
            <w:pPr>
              <w:spacing w:line="276" w:lineRule="auto"/>
              <w:jc w:val="center"/>
              <w:rPr>
                <w:lang w:val="uk-UA"/>
              </w:rPr>
            </w:pPr>
            <w:r w:rsidRPr="00932F66">
              <w:rPr>
                <w:sz w:val="22"/>
                <w:szCs w:val="22"/>
                <w:lang w:val="uk-UA"/>
              </w:rPr>
              <w:t>1 302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20C" w:rsidRPr="00932F66" w:rsidRDefault="000C6BAF" w:rsidP="00C90243">
            <w:pPr>
              <w:spacing w:line="276" w:lineRule="auto"/>
              <w:jc w:val="center"/>
              <w:rPr>
                <w:lang w:val="uk-UA"/>
              </w:rPr>
            </w:pPr>
            <w:r w:rsidRPr="00932F66">
              <w:rPr>
                <w:sz w:val="22"/>
                <w:szCs w:val="22"/>
                <w:lang w:val="uk-UA"/>
              </w:rPr>
              <w:t>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20C" w:rsidRPr="00932F66" w:rsidRDefault="000C6BAF" w:rsidP="00C90243">
            <w:pPr>
              <w:spacing w:line="276" w:lineRule="auto"/>
              <w:jc w:val="center"/>
              <w:rPr>
                <w:lang w:val="uk-UA"/>
              </w:rPr>
            </w:pPr>
            <w:r w:rsidRPr="00932F66">
              <w:rPr>
                <w:sz w:val="22"/>
                <w:szCs w:val="22"/>
                <w:lang w:val="uk-UA"/>
              </w:rPr>
              <w:t>8</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20C" w:rsidRPr="00932F66" w:rsidRDefault="000C6BAF" w:rsidP="00C90243">
            <w:pPr>
              <w:spacing w:line="276" w:lineRule="auto"/>
              <w:jc w:val="center"/>
              <w:rPr>
                <w:lang w:val="uk-UA"/>
              </w:rPr>
            </w:pPr>
            <w:r w:rsidRPr="00932F66">
              <w:rPr>
                <w:sz w:val="22"/>
                <w:szCs w:val="22"/>
                <w:lang w:val="uk-UA"/>
              </w:rPr>
              <w:t>1310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20C" w:rsidRPr="00932F66" w:rsidRDefault="008F520C" w:rsidP="00C90243">
            <w:pPr>
              <w:spacing w:line="276" w:lineRule="auto"/>
              <w:jc w:val="center"/>
              <w:rPr>
                <w:lang w:val="uk-UA"/>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20C" w:rsidRPr="00932F66" w:rsidRDefault="008F520C" w:rsidP="00C90243">
            <w:pPr>
              <w:spacing w:line="276" w:lineRule="auto"/>
              <w:jc w:val="center"/>
              <w:rPr>
                <w:lang w:val="uk-UA"/>
              </w:rPr>
            </w:pPr>
          </w:p>
        </w:tc>
      </w:tr>
    </w:tbl>
    <w:p w:rsidR="001C2F97" w:rsidRPr="00932F66" w:rsidRDefault="001C2F97" w:rsidP="00C90243">
      <w:pPr>
        <w:pStyle w:val="aa"/>
        <w:spacing w:line="276" w:lineRule="auto"/>
        <w:ind w:firstLine="709"/>
        <w:jc w:val="both"/>
        <w:rPr>
          <w:b w:val="0"/>
          <w:sz w:val="24"/>
          <w:szCs w:val="24"/>
        </w:rPr>
      </w:pPr>
    </w:p>
    <w:p w:rsidR="00D32167" w:rsidRPr="00932F66" w:rsidRDefault="00D32167" w:rsidP="00D32167">
      <w:pPr>
        <w:pStyle w:val="aa"/>
        <w:spacing w:line="276" w:lineRule="auto"/>
        <w:ind w:firstLine="709"/>
        <w:jc w:val="both"/>
        <w:rPr>
          <w:b w:val="0"/>
          <w:sz w:val="24"/>
          <w:szCs w:val="24"/>
        </w:rPr>
      </w:pPr>
      <w:r w:rsidRPr="00932F66">
        <w:rPr>
          <w:b w:val="0"/>
          <w:sz w:val="24"/>
          <w:szCs w:val="24"/>
        </w:rPr>
        <w:t xml:space="preserve">* </w:t>
      </w:r>
      <w:r>
        <w:rPr>
          <w:b w:val="0"/>
          <w:sz w:val="24"/>
          <w:szCs w:val="24"/>
        </w:rPr>
        <w:t>За</w:t>
      </w:r>
      <w:r w:rsidRPr="00932F66">
        <w:rPr>
          <w:b w:val="0"/>
          <w:sz w:val="24"/>
          <w:szCs w:val="24"/>
        </w:rPr>
        <w:t xml:space="preserve"> період з 01.01.</w:t>
      </w:r>
      <w:r>
        <w:rPr>
          <w:b w:val="0"/>
          <w:sz w:val="24"/>
          <w:szCs w:val="24"/>
        </w:rPr>
        <w:t>2018</w:t>
      </w:r>
      <w:r w:rsidRPr="00932F66">
        <w:rPr>
          <w:b w:val="0"/>
          <w:sz w:val="24"/>
          <w:szCs w:val="24"/>
        </w:rPr>
        <w:t xml:space="preserve"> по 02.10.2018р.</w:t>
      </w:r>
    </w:p>
    <w:p w:rsidR="000C6BAF" w:rsidRPr="00932F66" w:rsidRDefault="007C1C50" w:rsidP="00C90243">
      <w:pPr>
        <w:pStyle w:val="aa"/>
        <w:tabs>
          <w:tab w:val="center" w:pos="5457"/>
        </w:tabs>
        <w:spacing w:line="276" w:lineRule="auto"/>
        <w:ind w:firstLine="709"/>
        <w:jc w:val="both"/>
        <w:rPr>
          <w:b w:val="0"/>
          <w:sz w:val="24"/>
          <w:szCs w:val="24"/>
        </w:rPr>
      </w:pPr>
      <w:r w:rsidRPr="00932F66">
        <w:rPr>
          <w:b w:val="0"/>
          <w:sz w:val="24"/>
          <w:szCs w:val="24"/>
        </w:rPr>
        <w:tab/>
      </w:r>
    </w:p>
    <w:p w:rsidR="007C1C50" w:rsidRPr="00932F66" w:rsidRDefault="007A69E6" w:rsidP="00C90243">
      <w:pPr>
        <w:pStyle w:val="aa"/>
        <w:tabs>
          <w:tab w:val="center" w:pos="5457"/>
        </w:tabs>
        <w:spacing w:line="276" w:lineRule="auto"/>
        <w:ind w:firstLine="709"/>
        <w:jc w:val="right"/>
      </w:pPr>
      <w:r w:rsidRPr="00932F66">
        <w:t>Таблиця 5</w:t>
      </w:r>
    </w:p>
    <w:p w:rsidR="007A69E6" w:rsidRPr="00932F66" w:rsidRDefault="007A69E6" w:rsidP="00C90243">
      <w:pPr>
        <w:pStyle w:val="aa"/>
        <w:spacing w:line="276" w:lineRule="auto"/>
        <w:ind w:firstLine="709"/>
        <w:jc w:val="both"/>
        <w:rPr>
          <w:b w:val="0"/>
        </w:rPr>
      </w:pPr>
      <w:r w:rsidRPr="00932F66">
        <w:rPr>
          <w:b w:val="0"/>
        </w:rPr>
        <w:t xml:space="preserve">За даними </w:t>
      </w:r>
      <w:r w:rsidRPr="00932F66">
        <w:t>таблиці 4</w:t>
      </w:r>
      <w:r w:rsidRPr="00932F66">
        <w:rPr>
          <w:b w:val="0"/>
        </w:rPr>
        <w:t xml:space="preserve"> динаміка залишку справ та матеріалів починаючи з 2013 року на кінець звітного періоду зберіга</w:t>
      </w:r>
      <w:r w:rsidR="00F87854">
        <w:rPr>
          <w:b w:val="0"/>
        </w:rPr>
        <w:t>ла</w:t>
      </w:r>
      <w:r w:rsidRPr="00932F66">
        <w:rPr>
          <w:b w:val="0"/>
        </w:rPr>
        <w:t xml:space="preserve"> тенденцію до зменшення. Таке явище обумовлено збільшенням відсотка розглянутих справ та матеріалів від </w:t>
      </w:r>
      <w:r w:rsidRPr="00932F66">
        <w:rPr>
          <w:b w:val="0"/>
        </w:rPr>
        <w:lastRenderedPageBreak/>
        <w:t>тих, що перебували на розгляді, що, в свою чергу, призвело до падіння відсотка нерозглянутих справ.</w:t>
      </w:r>
    </w:p>
    <w:p w:rsidR="007C1C50" w:rsidRPr="00932F66" w:rsidRDefault="007C1C50" w:rsidP="00C90243">
      <w:pPr>
        <w:pStyle w:val="aa"/>
        <w:tabs>
          <w:tab w:val="center" w:pos="5457"/>
        </w:tabs>
        <w:spacing w:line="276" w:lineRule="auto"/>
        <w:ind w:firstLine="709"/>
        <w:jc w:val="both"/>
        <w:rPr>
          <w:b w:val="0"/>
          <w:sz w:val="24"/>
          <w:szCs w:val="24"/>
        </w:rPr>
      </w:pPr>
    </w:p>
    <w:p w:rsidR="00A57442" w:rsidRPr="00932F66" w:rsidRDefault="00B21469" w:rsidP="00C90243">
      <w:pPr>
        <w:pStyle w:val="aa"/>
        <w:spacing w:line="276" w:lineRule="auto"/>
        <w:ind w:firstLine="709"/>
        <w:jc w:val="both"/>
        <w:rPr>
          <w:b w:val="0"/>
        </w:rPr>
      </w:pPr>
      <w:r w:rsidRPr="00932F66">
        <w:rPr>
          <w:b w:val="0"/>
        </w:rPr>
        <w:t>З</w:t>
      </w:r>
      <w:r w:rsidR="00A57442" w:rsidRPr="00932F66">
        <w:rPr>
          <w:b w:val="0"/>
        </w:rPr>
        <w:t>алиш</w:t>
      </w:r>
      <w:r w:rsidR="00F87854">
        <w:rPr>
          <w:b w:val="0"/>
        </w:rPr>
        <w:t>о</w:t>
      </w:r>
      <w:r w:rsidR="00A57442" w:rsidRPr="00932F66">
        <w:rPr>
          <w:b w:val="0"/>
        </w:rPr>
        <w:t xml:space="preserve">к нерозглянутих справ та матеріалів станом на кінець звітного періоду в розрізі розділів Класифікатора категорій адміністративних справ представлена в </w:t>
      </w:r>
      <w:r w:rsidR="00A57442" w:rsidRPr="00932F66">
        <w:t>таблиці 7</w:t>
      </w:r>
      <w:r w:rsidR="00A57442" w:rsidRPr="00932F66">
        <w:rPr>
          <w:b w:val="0"/>
        </w:rPr>
        <w:t>.</w:t>
      </w:r>
    </w:p>
    <w:p w:rsidR="00A57442" w:rsidRPr="00932F66" w:rsidRDefault="00A57442" w:rsidP="00C90243">
      <w:pPr>
        <w:pStyle w:val="aa"/>
        <w:spacing w:line="276" w:lineRule="auto"/>
        <w:ind w:firstLine="709"/>
        <w:jc w:val="right"/>
      </w:pPr>
      <w:r w:rsidRPr="00932F66">
        <w:t>Таблиця 7</w:t>
      </w:r>
    </w:p>
    <w:tbl>
      <w:tblPr>
        <w:tblW w:w="9960" w:type="dxa"/>
        <w:tblInd w:w="93" w:type="dxa"/>
        <w:tblLook w:val="04A0"/>
      </w:tblPr>
      <w:tblGrid>
        <w:gridCol w:w="9960"/>
      </w:tblGrid>
      <w:tr w:rsidR="00A57442" w:rsidRPr="00932F66" w:rsidTr="00A57AC2">
        <w:tc>
          <w:tcPr>
            <w:tcW w:w="9960" w:type="dxa"/>
          </w:tcPr>
          <w:p w:rsidR="00A57442" w:rsidRPr="00932F66" w:rsidRDefault="00454BBB" w:rsidP="00C90243">
            <w:pPr>
              <w:pStyle w:val="aa"/>
              <w:spacing w:line="276" w:lineRule="auto"/>
              <w:ind w:firstLine="709"/>
            </w:pPr>
            <w:r w:rsidRPr="00932F66">
              <w:t>З</w:t>
            </w:r>
            <w:r w:rsidR="00A57442" w:rsidRPr="00932F66">
              <w:t>алиш</w:t>
            </w:r>
            <w:r w:rsidRPr="00932F66">
              <w:t>о</w:t>
            </w:r>
            <w:r w:rsidR="00A57442" w:rsidRPr="00932F66">
              <w:t>к справ та матеріалів</w:t>
            </w:r>
          </w:p>
          <w:p w:rsidR="00A57442" w:rsidRPr="00932F66" w:rsidRDefault="00A57442" w:rsidP="00C90243">
            <w:pPr>
              <w:pStyle w:val="aa"/>
              <w:spacing w:line="276" w:lineRule="auto"/>
              <w:ind w:firstLine="709"/>
            </w:pPr>
            <w:r w:rsidRPr="00932F66">
              <w:t xml:space="preserve">станом на кінець звітного періоду </w:t>
            </w:r>
          </w:p>
          <w:p w:rsidR="00A57442" w:rsidRPr="00932F66" w:rsidRDefault="00A57442" w:rsidP="00C90243">
            <w:pPr>
              <w:pStyle w:val="aa"/>
              <w:spacing w:line="276" w:lineRule="auto"/>
              <w:ind w:firstLine="709"/>
            </w:pPr>
            <w:r w:rsidRPr="00932F66">
              <w:t>в розрізі розділів Класифікатора категорій адміністративних справ</w:t>
            </w:r>
          </w:p>
          <w:p w:rsidR="00A57442" w:rsidRPr="00932F66" w:rsidRDefault="00A57442" w:rsidP="00C90243">
            <w:pPr>
              <w:pStyle w:val="aa"/>
              <w:spacing w:line="276" w:lineRule="auto"/>
              <w:ind w:firstLine="709"/>
            </w:pPr>
            <w:r w:rsidRPr="00932F66">
              <w:t>у Львівському апеляційному адміністративному суді</w:t>
            </w:r>
          </w:p>
        </w:tc>
      </w:tr>
    </w:tbl>
    <w:p w:rsidR="00A57442" w:rsidRPr="00932F66" w:rsidRDefault="00A57442" w:rsidP="00C90243">
      <w:pPr>
        <w:pStyle w:val="aa"/>
        <w:spacing w:line="276" w:lineRule="auto"/>
        <w:ind w:firstLine="709"/>
        <w:jc w:val="both"/>
        <w:rPr>
          <w:b w:val="0"/>
          <w:sz w:val="16"/>
          <w:szCs w:val="16"/>
        </w:rPr>
      </w:pPr>
    </w:p>
    <w:tbl>
      <w:tblPr>
        <w:tblW w:w="9938" w:type="dxa"/>
        <w:tblInd w:w="93" w:type="dxa"/>
        <w:tblLook w:val="04A0"/>
      </w:tblPr>
      <w:tblGrid>
        <w:gridCol w:w="7812"/>
        <w:gridCol w:w="2126"/>
      </w:tblGrid>
      <w:tr w:rsidR="00454BBB" w:rsidRPr="00932F66" w:rsidTr="00B21469">
        <w:trPr>
          <w:trHeight w:val="1203"/>
        </w:trPr>
        <w:tc>
          <w:tcPr>
            <w:tcW w:w="781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Розділ Класифікатора адміністративних справ</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Кількість справ та матеріалів</w:t>
            </w:r>
          </w:p>
          <w:p w:rsidR="00454BBB" w:rsidRPr="00932F66" w:rsidRDefault="00454BBB" w:rsidP="00C90243">
            <w:pPr>
              <w:spacing w:line="276" w:lineRule="auto"/>
              <w:jc w:val="center"/>
              <w:rPr>
                <w:lang w:val="uk-UA"/>
              </w:rPr>
            </w:pPr>
          </w:p>
        </w:tc>
      </w:tr>
      <w:tr w:rsidR="00454BBB" w:rsidRPr="00932F66" w:rsidTr="00B21469">
        <w:trPr>
          <w:trHeight w:val="81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(Розділ 2)</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87</w:t>
            </w:r>
          </w:p>
        </w:tc>
      </w:tr>
      <w:tr w:rsidR="00454BBB" w:rsidRPr="00932F66" w:rsidTr="00B21469">
        <w:trPr>
          <w:trHeight w:val="61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Справи зі спорів з приводу забезпечення громадського порядку та безпеки, національної безпеки та оборони України (Розділ 3)</w:t>
            </w:r>
          </w:p>
        </w:tc>
        <w:tc>
          <w:tcPr>
            <w:tcW w:w="2126" w:type="dxa"/>
            <w:tcBorders>
              <w:top w:val="nil"/>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93</w:t>
            </w:r>
          </w:p>
        </w:tc>
      </w:tr>
      <w:tr w:rsidR="00454BBB" w:rsidRPr="00932F66" w:rsidTr="00B21469">
        <w:trPr>
          <w:trHeight w:val="61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Справи зі спорів з приводу реалізації державної політики у сфері освіти, науки, культури та спорту (Розділ 4)</w:t>
            </w:r>
          </w:p>
        </w:tc>
        <w:tc>
          <w:tcPr>
            <w:tcW w:w="2126" w:type="dxa"/>
            <w:tcBorders>
              <w:top w:val="nil"/>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8</w:t>
            </w:r>
          </w:p>
        </w:tc>
      </w:tr>
      <w:tr w:rsidR="00454BBB" w:rsidRPr="00932F66" w:rsidTr="00B21469">
        <w:trPr>
          <w:trHeight w:val="58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Справи зі спорів з приводу реалізації державної політики у сфері економіки (Розділ 5)</w:t>
            </w:r>
          </w:p>
        </w:tc>
        <w:tc>
          <w:tcPr>
            <w:tcW w:w="2126" w:type="dxa"/>
            <w:tcBorders>
              <w:top w:val="nil"/>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96</w:t>
            </w:r>
          </w:p>
        </w:tc>
      </w:tr>
      <w:tr w:rsidR="00454BBB" w:rsidRPr="00932F66" w:rsidTr="00B21469">
        <w:trPr>
          <w:trHeight w:val="61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Справи зі спорів з приводу забезпечення сталого розвитку населених пунктів та землекористування (Розділ 6)</w:t>
            </w:r>
          </w:p>
        </w:tc>
        <w:tc>
          <w:tcPr>
            <w:tcW w:w="2126" w:type="dxa"/>
            <w:tcBorders>
              <w:top w:val="nil"/>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143</w:t>
            </w:r>
          </w:p>
        </w:tc>
      </w:tr>
      <w:tr w:rsidR="00454BBB" w:rsidRPr="00932F66" w:rsidTr="00B21469">
        <w:trPr>
          <w:trHeight w:val="58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Справи зі спорів з приводу охорони навколишнього природного середовища (Розділ 7)</w:t>
            </w:r>
          </w:p>
        </w:tc>
        <w:tc>
          <w:tcPr>
            <w:tcW w:w="2126" w:type="dxa"/>
            <w:tcBorders>
              <w:top w:val="nil"/>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1</w:t>
            </w:r>
          </w:p>
        </w:tc>
      </w:tr>
      <w:tr w:rsidR="00454BBB" w:rsidRPr="00932F66" w:rsidTr="00B21469">
        <w:trPr>
          <w:trHeight w:val="76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Справи зі спорів з приводу адміністрування податків, зборів, платежів, а також контролю за дотриманням вимог податкового законодавства (Розділ 8)</w:t>
            </w:r>
          </w:p>
        </w:tc>
        <w:tc>
          <w:tcPr>
            <w:tcW w:w="2126" w:type="dxa"/>
            <w:tcBorders>
              <w:top w:val="nil"/>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315</w:t>
            </w:r>
          </w:p>
        </w:tc>
      </w:tr>
      <w:tr w:rsidR="00454BBB" w:rsidRPr="00932F66" w:rsidTr="00B21469">
        <w:trPr>
          <w:trHeight w:val="49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Справи зі спорів з приводу реалізації публічної фінансової політики (Розділ 9)</w:t>
            </w:r>
          </w:p>
        </w:tc>
        <w:tc>
          <w:tcPr>
            <w:tcW w:w="2126" w:type="dxa"/>
            <w:tcBorders>
              <w:top w:val="nil"/>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23</w:t>
            </w:r>
          </w:p>
        </w:tc>
      </w:tr>
      <w:tr w:rsidR="00454BBB" w:rsidRPr="00932F66" w:rsidTr="00B21469">
        <w:trPr>
          <w:trHeight w:val="747"/>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(Розділ 10)</w:t>
            </w:r>
          </w:p>
        </w:tc>
        <w:tc>
          <w:tcPr>
            <w:tcW w:w="2126" w:type="dxa"/>
            <w:tcBorders>
              <w:top w:val="nil"/>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366</w:t>
            </w:r>
          </w:p>
        </w:tc>
      </w:tr>
      <w:tr w:rsidR="00454BBB" w:rsidRPr="00932F66" w:rsidTr="00B21469">
        <w:trPr>
          <w:trHeight w:val="52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Справи зі спорів з приводу забезпечення юстиції (Розділ 11)</w:t>
            </w:r>
          </w:p>
        </w:tc>
        <w:tc>
          <w:tcPr>
            <w:tcW w:w="2126" w:type="dxa"/>
            <w:tcBorders>
              <w:top w:val="nil"/>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92</w:t>
            </w:r>
          </w:p>
        </w:tc>
      </w:tr>
      <w:tr w:rsidR="00454BBB" w:rsidRPr="00932F66" w:rsidTr="00B21469">
        <w:trPr>
          <w:trHeight w:val="542"/>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Справи зі спорів з відносин публічної служби (Розділ 12)</w:t>
            </w:r>
          </w:p>
        </w:tc>
        <w:tc>
          <w:tcPr>
            <w:tcW w:w="2126" w:type="dxa"/>
            <w:tcBorders>
              <w:top w:val="nil"/>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86</w:t>
            </w:r>
          </w:p>
        </w:tc>
      </w:tr>
      <w:tr w:rsidR="00454BBB" w:rsidRPr="00932F66" w:rsidTr="00B21469">
        <w:trPr>
          <w:trHeight w:val="55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454BBB" w:rsidRPr="00932F66" w:rsidRDefault="00454BBB" w:rsidP="00C90243">
            <w:pPr>
              <w:spacing w:line="276" w:lineRule="auto"/>
              <w:rPr>
                <w:lang w:val="uk-UA"/>
              </w:rPr>
            </w:pPr>
            <w:r w:rsidRPr="00932F66">
              <w:rPr>
                <w:lang w:val="uk-UA"/>
              </w:rPr>
              <w:t>ВСЬОГО</w:t>
            </w:r>
          </w:p>
        </w:tc>
        <w:tc>
          <w:tcPr>
            <w:tcW w:w="2126" w:type="dxa"/>
            <w:tcBorders>
              <w:top w:val="nil"/>
              <w:left w:val="nil"/>
              <w:bottom w:val="single" w:sz="8" w:space="0" w:color="auto"/>
              <w:right w:val="single" w:sz="8" w:space="0" w:color="auto"/>
            </w:tcBorders>
            <w:shd w:val="clear" w:color="auto" w:fill="auto"/>
            <w:vAlign w:val="center"/>
            <w:hideMark/>
          </w:tcPr>
          <w:p w:rsidR="00454BBB" w:rsidRPr="00932F66" w:rsidRDefault="00454BBB" w:rsidP="00C90243">
            <w:pPr>
              <w:spacing w:line="276" w:lineRule="auto"/>
              <w:jc w:val="center"/>
              <w:rPr>
                <w:lang w:val="uk-UA"/>
              </w:rPr>
            </w:pPr>
            <w:r w:rsidRPr="00932F66">
              <w:rPr>
                <w:lang w:val="uk-UA"/>
              </w:rPr>
              <w:t>1310</w:t>
            </w:r>
          </w:p>
        </w:tc>
      </w:tr>
    </w:tbl>
    <w:p w:rsidR="0011162C" w:rsidRPr="00932F66" w:rsidRDefault="0011162C" w:rsidP="00C90243">
      <w:pPr>
        <w:pStyle w:val="aa"/>
        <w:spacing w:line="276" w:lineRule="auto"/>
        <w:ind w:firstLine="709"/>
        <w:jc w:val="both"/>
        <w:rPr>
          <w:b w:val="0"/>
        </w:rPr>
      </w:pPr>
    </w:p>
    <w:p w:rsidR="00B21469" w:rsidRPr="00932F66" w:rsidRDefault="00662115" w:rsidP="00C90243">
      <w:pPr>
        <w:pStyle w:val="aa"/>
        <w:spacing w:line="276" w:lineRule="auto"/>
        <w:ind w:firstLine="709"/>
        <w:jc w:val="right"/>
        <w:rPr>
          <w:b w:val="0"/>
        </w:rPr>
      </w:pPr>
      <w:r w:rsidRPr="00932F66">
        <w:lastRenderedPageBreak/>
        <w:t>Діаграма 1</w:t>
      </w:r>
      <w:r w:rsidR="00B21469" w:rsidRPr="00932F66">
        <w:rPr>
          <w:b w:val="0"/>
          <w:noProof/>
          <w:lang w:val="ru-RU"/>
        </w:rPr>
        <w:drawing>
          <wp:inline distT="0" distB="0" distL="0" distR="0">
            <wp:extent cx="6115050" cy="8924925"/>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54A6" w:rsidRPr="00932F66" w:rsidRDefault="00B21469" w:rsidP="00C90243">
      <w:pPr>
        <w:spacing w:line="276" w:lineRule="auto"/>
        <w:ind w:firstLine="709"/>
        <w:jc w:val="both"/>
        <w:rPr>
          <w:sz w:val="28"/>
          <w:szCs w:val="28"/>
          <w:lang w:val="uk-UA"/>
        </w:rPr>
      </w:pPr>
      <w:r w:rsidRPr="00932F66">
        <w:rPr>
          <w:sz w:val="28"/>
          <w:szCs w:val="28"/>
          <w:lang w:val="uk-UA"/>
        </w:rPr>
        <w:lastRenderedPageBreak/>
        <w:t xml:space="preserve">У </w:t>
      </w:r>
      <w:r w:rsidR="000254CE">
        <w:rPr>
          <w:sz w:val="28"/>
          <w:szCs w:val="28"/>
          <w:lang w:val="uk-UA"/>
        </w:rPr>
        <w:t>діаграмі 1</w:t>
      </w:r>
      <w:r w:rsidRPr="00932F66">
        <w:rPr>
          <w:sz w:val="28"/>
          <w:szCs w:val="28"/>
          <w:lang w:val="uk-UA"/>
        </w:rPr>
        <w:t xml:space="preserve"> відображено процентне відношення</w:t>
      </w:r>
      <w:r w:rsidRPr="00932F66">
        <w:rPr>
          <w:rFonts w:eastAsia="SimSun"/>
          <w:bCs/>
          <w:sz w:val="28"/>
          <w:szCs w:val="28"/>
          <w:lang w:val="uk-UA"/>
        </w:rPr>
        <w:t xml:space="preserve">залишку справ та матеріалівстаном на кінець звітного періоду в розрізі розділівКласифікатора категорій адміністративних справ </w:t>
      </w:r>
      <w:r w:rsidRPr="00932F66">
        <w:rPr>
          <w:sz w:val="28"/>
          <w:szCs w:val="28"/>
          <w:lang w:val="uk-UA"/>
        </w:rPr>
        <w:t xml:space="preserve">у </w:t>
      </w:r>
      <w:r w:rsidR="002654A6" w:rsidRPr="00932F66">
        <w:rPr>
          <w:sz w:val="28"/>
          <w:szCs w:val="28"/>
          <w:lang w:val="uk-UA"/>
        </w:rPr>
        <w:t xml:space="preserve">ЛААС, де чітко можна побачити що найбільше місце займають справи та матеріали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(27,94%) та зі спорів з приводу адміністрування податків, зборів, платежів, а також контролю за дотриманням вимог податкового законодавства (24,05). Такі дані </w:t>
      </w:r>
      <w:r w:rsidR="00084A25" w:rsidRPr="00932F66">
        <w:rPr>
          <w:sz w:val="28"/>
          <w:szCs w:val="28"/>
          <w:lang w:val="uk-UA"/>
        </w:rPr>
        <w:t>пояснюються тим, що</w:t>
      </w:r>
      <w:r w:rsidR="009C2E98" w:rsidRPr="00932F66">
        <w:rPr>
          <w:sz w:val="28"/>
          <w:szCs w:val="28"/>
          <w:lang w:val="uk-UA"/>
        </w:rPr>
        <w:t xml:space="preserve"> із загальної кількості справ та матеріалів (9233) які перебували на розгляді, </w:t>
      </w:r>
      <w:r w:rsidR="004D3602" w:rsidRPr="00932F66">
        <w:rPr>
          <w:sz w:val="28"/>
          <w:szCs w:val="28"/>
          <w:lang w:val="uk-UA"/>
        </w:rPr>
        <w:t>4815</w:t>
      </w:r>
      <w:r w:rsidR="00084A25" w:rsidRPr="00932F66">
        <w:rPr>
          <w:sz w:val="28"/>
          <w:szCs w:val="28"/>
          <w:lang w:val="uk-UA"/>
        </w:rPr>
        <w:t xml:space="preserve"> справ та матеріалів саме по вказаних категоріях адміністративних справ.</w:t>
      </w:r>
    </w:p>
    <w:p w:rsidR="00A57442" w:rsidRPr="00932F66" w:rsidRDefault="00A57442" w:rsidP="00C90243">
      <w:pPr>
        <w:pStyle w:val="aa"/>
        <w:spacing w:line="276" w:lineRule="auto"/>
        <w:ind w:firstLine="709"/>
        <w:jc w:val="both"/>
        <w:rPr>
          <w:b w:val="0"/>
        </w:rPr>
      </w:pPr>
      <w:r w:rsidRPr="00932F66">
        <w:rPr>
          <w:b w:val="0"/>
        </w:rPr>
        <w:tab/>
      </w:r>
    </w:p>
    <w:p w:rsidR="00330B81" w:rsidRDefault="00330B81" w:rsidP="00EE79A1">
      <w:pPr>
        <w:pStyle w:val="aa"/>
        <w:numPr>
          <w:ilvl w:val="0"/>
          <w:numId w:val="2"/>
        </w:numPr>
        <w:spacing w:line="276" w:lineRule="auto"/>
      </w:pPr>
      <w:r w:rsidRPr="00932F66">
        <w:t>Строки розгляду та структура залишку справ та матеріалів.</w:t>
      </w:r>
    </w:p>
    <w:p w:rsidR="000254CE" w:rsidRPr="00932F66" w:rsidRDefault="000254CE" w:rsidP="000254CE">
      <w:pPr>
        <w:pStyle w:val="aa"/>
        <w:spacing w:line="276" w:lineRule="auto"/>
        <w:ind w:left="720"/>
        <w:jc w:val="left"/>
      </w:pPr>
    </w:p>
    <w:p w:rsidR="00330B81" w:rsidRPr="00932F66" w:rsidRDefault="00330B81" w:rsidP="00C90243">
      <w:pPr>
        <w:pStyle w:val="aa"/>
        <w:spacing w:line="276" w:lineRule="auto"/>
        <w:ind w:firstLine="709"/>
        <w:jc w:val="both"/>
        <w:rPr>
          <w:b w:val="0"/>
        </w:rPr>
      </w:pPr>
      <w:r w:rsidRPr="00932F66">
        <w:rPr>
          <w:b w:val="0"/>
        </w:rPr>
        <w:t>Відповідно до звіту форми № 2 аас загальна тривалість розгляду закінчених провадженням справ у 2018 році становила:</w:t>
      </w:r>
    </w:p>
    <w:p w:rsidR="00330B81" w:rsidRPr="00932F66" w:rsidRDefault="00330B81" w:rsidP="00C90243">
      <w:pPr>
        <w:pStyle w:val="aa"/>
        <w:spacing w:line="276" w:lineRule="auto"/>
        <w:ind w:firstLine="709"/>
        <w:jc w:val="both"/>
        <w:rPr>
          <w:b w:val="0"/>
        </w:rPr>
      </w:pPr>
      <w:r w:rsidRPr="00932F66">
        <w:rPr>
          <w:b w:val="0"/>
        </w:rPr>
        <w:t>► до 3 місяців включно – 6852 справ або 86,5% загальної сукупності;</w:t>
      </w:r>
    </w:p>
    <w:p w:rsidR="00330B81" w:rsidRPr="00932F66" w:rsidRDefault="00330B81" w:rsidP="00C90243">
      <w:pPr>
        <w:pStyle w:val="aa"/>
        <w:spacing w:line="276" w:lineRule="auto"/>
        <w:ind w:firstLine="709"/>
        <w:jc w:val="both"/>
        <w:rPr>
          <w:b w:val="0"/>
        </w:rPr>
      </w:pPr>
      <w:r w:rsidRPr="00932F66">
        <w:rPr>
          <w:b w:val="0"/>
        </w:rPr>
        <w:t>► понад 3 місяці до 1 року включно – 999 справ або 12,6%;</w:t>
      </w:r>
    </w:p>
    <w:p w:rsidR="00330B81" w:rsidRPr="00932F66" w:rsidRDefault="00330B81" w:rsidP="00C90243">
      <w:pPr>
        <w:pStyle w:val="aa"/>
        <w:spacing w:line="276" w:lineRule="auto"/>
        <w:ind w:firstLine="709"/>
        <w:jc w:val="both"/>
        <w:rPr>
          <w:b w:val="0"/>
        </w:rPr>
      </w:pPr>
      <w:r w:rsidRPr="00932F66">
        <w:rPr>
          <w:b w:val="0"/>
        </w:rPr>
        <w:t>► понад 1 рік до 2 років включно – 69 справ або 0,9%;</w:t>
      </w:r>
    </w:p>
    <w:p w:rsidR="00330B81" w:rsidRPr="00932F66" w:rsidRDefault="00330B81" w:rsidP="00C90243">
      <w:pPr>
        <w:pStyle w:val="aa"/>
        <w:spacing w:line="276" w:lineRule="auto"/>
        <w:ind w:firstLine="709"/>
        <w:jc w:val="both"/>
        <w:rPr>
          <w:b w:val="0"/>
        </w:rPr>
      </w:pPr>
      <w:r w:rsidRPr="00932F66">
        <w:rPr>
          <w:b w:val="0"/>
        </w:rPr>
        <w:t>► понад 2 роки до 3 років включно – 1 справа або 0,01%;</w:t>
      </w:r>
    </w:p>
    <w:p w:rsidR="00330B81" w:rsidRPr="00932F66" w:rsidRDefault="00330B81" w:rsidP="00C90243">
      <w:pPr>
        <w:pStyle w:val="aa"/>
        <w:spacing w:line="276" w:lineRule="auto"/>
        <w:ind w:firstLine="709"/>
        <w:jc w:val="both"/>
        <w:rPr>
          <w:b w:val="0"/>
        </w:rPr>
      </w:pPr>
      <w:r w:rsidRPr="00932F66">
        <w:rPr>
          <w:b w:val="0"/>
        </w:rPr>
        <w:t>► понад 3 роки – 2 справи або 0,02%.</w:t>
      </w:r>
    </w:p>
    <w:p w:rsidR="00330B81" w:rsidRPr="00932F66" w:rsidRDefault="00330B81" w:rsidP="00C90243">
      <w:pPr>
        <w:pStyle w:val="aa"/>
        <w:spacing w:line="276" w:lineRule="auto"/>
        <w:ind w:firstLine="709"/>
        <w:jc w:val="both"/>
        <w:rPr>
          <w:b w:val="0"/>
        </w:rPr>
      </w:pPr>
      <w:r w:rsidRPr="00932F66">
        <w:rPr>
          <w:b w:val="0"/>
        </w:rPr>
        <w:t xml:space="preserve">Таким чином, частка справ із залишку на кінець звітного періоду, тривалість розгляду яких у 2018 році склала до 1 року включно, становить 99,1%. </w:t>
      </w:r>
    </w:p>
    <w:p w:rsidR="00330B81" w:rsidRPr="00932F66" w:rsidRDefault="00330B81" w:rsidP="00C90243">
      <w:pPr>
        <w:pStyle w:val="aa"/>
        <w:spacing w:line="276" w:lineRule="auto"/>
        <w:ind w:firstLine="709"/>
        <w:jc w:val="both"/>
        <w:rPr>
          <w:b w:val="0"/>
        </w:rPr>
      </w:pPr>
      <w:r w:rsidRPr="00932F66">
        <w:rPr>
          <w:b w:val="0"/>
        </w:rPr>
        <w:t>Тут загальна тривалість розгляду справи – це період від дня відкриття провадження до постановлення кінцевого рішення. Однак, у даному випадку в цей термін враховуються період</w:t>
      </w:r>
      <w:r w:rsidR="000B4580" w:rsidRPr="00932F66">
        <w:rPr>
          <w:b w:val="0"/>
        </w:rPr>
        <w:t>и</w:t>
      </w:r>
      <w:r w:rsidRPr="00932F66">
        <w:rPr>
          <w:b w:val="0"/>
        </w:rPr>
        <w:t>, у які відповідно до ухвал суду перебіг процесуального строку призупиняється, а це, в свою чергу, не дозволяє об’єктивно оцінити картину розгляду справ за цим критерієм.</w:t>
      </w:r>
    </w:p>
    <w:p w:rsidR="00330B81" w:rsidRPr="00932F66" w:rsidRDefault="00330B81" w:rsidP="00C90243">
      <w:pPr>
        <w:pStyle w:val="aa"/>
        <w:spacing w:line="276" w:lineRule="auto"/>
        <w:ind w:firstLine="709"/>
        <w:jc w:val="both"/>
        <w:rPr>
          <w:b w:val="0"/>
        </w:rPr>
      </w:pPr>
      <w:r w:rsidRPr="00932F66">
        <w:rPr>
          <w:b w:val="0"/>
        </w:rPr>
        <w:t xml:space="preserve">Серед базових показників, уведених рішенням Ради суддів України від 2 квітня 2015 року № 28, які стосуються строків розгляду справ, є середня тривалість розгляду справи (днів). Це середня арифметична кількість календарних днів загальної тривалості перебування справи в суді з дня відкриття провадження до постановлення судового рішення без включення періодів, в які відповідно до ухвал суду перебіг процесуального строку призупиняється. За даними звіту форми № 2 аас цей показник у 2018 році становив </w:t>
      </w:r>
      <w:r w:rsidRPr="00932F66">
        <w:t>61</w:t>
      </w:r>
      <w:r w:rsidRPr="00932F66">
        <w:rPr>
          <w:b w:val="0"/>
        </w:rPr>
        <w:t xml:space="preserve"> день, тобто 16,7% календарного року. </w:t>
      </w:r>
      <w:r w:rsidR="000B4580" w:rsidRPr="00932F66">
        <w:rPr>
          <w:b w:val="0"/>
        </w:rPr>
        <w:t>Керівництвом суду вживалися</w:t>
      </w:r>
      <w:r w:rsidR="00941A4C" w:rsidRPr="00932F66">
        <w:rPr>
          <w:b w:val="0"/>
        </w:rPr>
        <w:t xml:space="preserve">відповідні </w:t>
      </w:r>
      <w:r w:rsidRPr="00932F66">
        <w:rPr>
          <w:b w:val="0"/>
        </w:rPr>
        <w:t>заходи  щодо скорочення строків розгляду адм</w:t>
      </w:r>
      <w:r w:rsidR="000B4580" w:rsidRPr="00932F66">
        <w:rPr>
          <w:b w:val="0"/>
        </w:rPr>
        <w:t>іністративних справ, контролювався</w:t>
      </w:r>
      <w:r w:rsidRPr="00932F66">
        <w:rPr>
          <w:b w:val="0"/>
        </w:rPr>
        <w:t xml:space="preserve"> стан призначення справ до розгляду.</w:t>
      </w:r>
    </w:p>
    <w:p w:rsidR="00941A4C" w:rsidRPr="00932F66" w:rsidRDefault="00941A4C" w:rsidP="00C90243">
      <w:pPr>
        <w:pStyle w:val="aa"/>
        <w:spacing w:line="276" w:lineRule="auto"/>
        <w:ind w:firstLine="709"/>
        <w:jc w:val="both"/>
        <w:rPr>
          <w:b w:val="0"/>
        </w:rPr>
      </w:pPr>
      <w:r w:rsidRPr="00932F66">
        <w:rPr>
          <w:b w:val="0"/>
        </w:rPr>
        <w:lastRenderedPageBreak/>
        <w:t>Також у суді приділялася</w:t>
      </w:r>
      <w:r w:rsidR="00330B81" w:rsidRPr="00932F66">
        <w:rPr>
          <w:b w:val="0"/>
        </w:rPr>
        <w:t xml:space="preserve"> увага створенню максимально можливих комфортних умов праці для суддів та працівників апарату суду</w:t>
      </w:r>
      <w:r w:rsidR="00E951F2" w:rsidRPr="00932F66">
        <w:rPr>
          <w:b w:val="0"/>
        </w:rPr>
        <w:t xml:space="preserve">. Крім цього </w:t>
      </w:r>
      <w:r w:rsidRPr="00932F66">
        <w:rPr>
          <w:b w:val="0"/>
        </w:rPr>
        <w:t>проводилися:</w:t>
      </w:r>
    </w:p>
    <w:p w:rsidR="00941A4C" w:rsidRPr="00932F66" w:rsidRDefault="00330B81" w:rsidP="00EE79A1">
      <w:pPr>
        <w:pStyle w:val="aa"/>
        <w:numPr>
          <w:ilvl w:val="0"/>
          <w:numId w:val="3"/>
        </w:numPr>
        <w:spacing w:line="276" w:lineRule="auto"/>
        <w:ind w:left="284" w:firstLine="709"/>
        <w:jc w:val="both"/>
        <w:rPr>
          <w:b w:val="0"/>
        </w:rPr>
      </w:pPr>
      <w:r w:rsidRPr="00932F66">
        <w:rPr>
          <w:b w:val="0"/>
        </w:rPr>
        <w:t xml:space="preserve">моніторинг зі сторони керівництва суду </w:t>
      </w:r>
      <w:r w:rsidR="00941A4C" w:rsidRPr="00932F66">
        <w:rPr>
          <w:b w:val="0"/>
        </w:rPr>
        <w:t>щодо процесу здійснення судочинства</w:t>
      </w:r>
      <w:r w:rsidR="00E951F2" w:rsidRPr="00932F66">
        <w:rPr>
          <w:b w:val="0"/>
        </w:rPr>
        <w:t>;</w:t>
      </w:r>
    </w:p>
    <w:p w:rsidR="00941A4C" w:rsidRPr="00932F66" w:rsidRDefault="00330B81" w:rsidP="00EE79A1">
      <w:pPr>
        <w:pStyle w:val="aa"/>
        <w:numPr>
          <w:ilvl w:val="0"/>
          <w:numId w:val="3"/>
        </w:numPr>
        <w:spacing w:line="276" w:lineRule="auto"/>
        <w:ind w:left="284" w:firstLine="709"/>
        <w:jc w:val="both"/>
        <w:rPr>
          <w:b w:val="0"/>
        </w:rPr>
      </w:pPr>
      <w:r w:rsidRPr="00932F66">
        <w:rPr>
          <w:b w:val="0"/>
        </w:rPr>
        <w:t>підвищення кваліфікації суд</w:t>
      </w:r>
      <w:r w:rsidR="00E951F2" w:rsidRPr="00932F66">
        <w:rPr>
          <w:b w:val="0"/>
        </w:rPr>
        <w:t>дів та працівників апарату суду;</w:t>
      </w:r>
    </w:p>
    <w:p w:rsidR="00941A4C" w:rsidRPr="00932F66" w:rsidRDefault="00E951F2" w:rsidP="00EE79A1">
      <w:pPr>
        <w:pStyle w:val="aa"/>
        <w:numPr>
          <w:ilvl w:val="0"/>
          <w:numId w:val="3"/>
        </w:numPr>
        <w:spacing w:line="276" w:lineRule="auto"/>
        <w:ind w:left="284" w:firstLine="709"/>
        <w:jc w:val="both"/>
        <w:rPr>
          <w:b w:val="0"/>
        </w:rPr>
      </w:pPr>
      <w:r w:rsidRPr="00932F66">
        <w:rPr>
          <w:b w:val="0"/>
        </w:rPr>
        <w:t xml:space="preserve">відповідні дії щодо </w:t>
      </w:r>
      <w:r w:rsidR="00330B81" w:rsidRPr="00932F66">
        <w:rPr>
          <w:b w:val="0"/>
        </w:rPr>
        <w:t>швидкого налаштування комп’ютерної програми «Діловодство спеціалізованого суду» (далі – КП «ДСС») після зміни її версій,</w:t>
      </w:r>
    </w:p>
    <w:p w:rsidR="00941A4C" w:rsidRPr="00932F66" w:rsidRDefault="00330B81" w:rsidP="00EE79A1">
      <w:pPr>
        <w:pStyle w:val="aa"/>
        <w:numPr>
          <w:ilvl w:val="0"/>
          <w:numId w:val="3"/>
        </w:numPr>
        <w:spacing w:line="276" w:lineRule="auto"/>
        <w:ind w:left="284" w:firstLine="709"/>
        <w:jc w:val="both"/>
        <w:rPr>
          <w:b w:val="0"/>
        </w:rPr>
      </w:pPr>
      <w:r w:rsidRPr="00932F66">
        <w:rPr>
          <w:b w:val="0"/>
        </w:rPr>
        <w:t xml:space="preserve"> удосконалення шаблонів процесуальних документів,</w:t>
      </w:r>
    </w:p>
    <w:p w:rsidR="00941A4C" w:rsidRPr="00932F66" w:rsidRDefault="00330B81" w:rsidP="00EE79A1">
      <w:pPr>
        <w:pStyle w:val="aa"/>
        <w:numPr>
          <w:ilvl w:val="0"/>
          <w:numId w:val="3"/>
        </w:numPr>
        <w:spacing w:line="276" w:lineRule="auto"/>
        <w:ind w:left="284" w:firstLine="709"/>
        <w:jc w:val="both"/>
        <w:rPr>
          <w:b w:val="0"/>
        </w:rPr>
      </w:pPr>
      <w:r w:rsidRPr="00932F66">
        <w:rPr>
          <w:b w:val="0"/>
        </w:rPr>
        <w:t xml:space="preserve"> вироблення спільних правових позицій суддями ЛААС в якості реагування на зміни чинного законо</w:t>
      </w:r>
      <w:r w:rsidR="00941A4C" w:rsidRPr="00932F66">
        <w:rPr>
          <w:b w:val="0"/>
        </w:rPr>
        <w:t>давства та систематичні</w:t>
      </w:r>
      <w:r w:rsidRPr="00932F66">
        <w:rPr>
          <w:b w:val="0"/>
        </w:rPr>
        <w:t xml:space="preserve"> обговорення проблемних питань щодо його застосування</w:t>
      </w:r>
      <w:r w:rsidR="00941A4C" w:rsidRPr="00932F66">
        <w:rPr>
          <w:b w:val="0"/>
        </w:rPr>
        <w:t>,</w:t>
      </w:r>
      <w:r w:rsidRPr="00932F66">
        <w:rPr>
          <w:b w:val="0"/>
        </w:rPr>
        <w:t xml:space="preserve"> врахування в роботі інформаційних листів, узагальнень Вищого адміністративного суду України, Верховного суду України,</w:t>
      </w:r>
    </w:p>
    <w:p w:rsidR="00754AB1" w:rsidRPr="00932F66" w:rsidRDefault="00330B81" w:rsidP="00EE79A1">
      <w:pPr>
        <w:pStyle w:val="aa"/>
        <w:numPr>
          <w:ilvl w:val="0"/>
          <w:numId w:val="3"/>
        </w:numPr>
        <w:spacing w:line="276" w:lineRule="auto"/>
        <w:ind w:left="284" w:firstLine="709"/>
        <w:jc w:val="both"/>
        <w:rPr>
          <w:b w:val="0"/>
        </w:rPr>
      </w:pPr>
      <w:r w:rsidRPr="00932F66">
        <w:rPr>
          <w:b w:val="0"/>
        </w:rPr>
        <w:t>допомога новоприйнятим суддям та працівникам  апарату суду.</w:t>
      </w:r>
    </w:p>
    <w:p w:rsidR="00E951F2" w:rsidRPr="00932F66" w:rsidRDefault="00E951F2" w:rsidP="00C90243">
      <w:pPr>
        <w:pStyle w:val="aa"/>
        <w:spacing w:line="276" w:lineRule="auto"/>
        <w:ind w:firstLine="709"/>
      </w:pPr>
    </w:p>
    <w:p w:rsidR="00330B81" w:rsidRDefault="00330B81" w:rsidP="00EE79A1">
      <w:pPr>
        <w:pStyle w:val="aa"/>
        <w:numPr>
          <w:ilvl w:val="0"/>
          <w:numId w:val="2"/>
        </w:numPr>
        <w:spacing w:line="276" w:lineRule="auto"/>
        <w:ind w:hanging="720"/>
      </w:pPr>
      <w:r w:rsidRPr="00932F66">
        <w:t>Показники навантаження на одного суддю справ та матеріалів.</w:t>
      </w:r>
    </w:p>
    <w:p w:rsidR="000254CE" w:rsidRPr="00932F66" w:rsidRDefault="000254CE" w:rsidP="000254CE">
      <w:pPr>
        <w:pStyle w:val="aa"/>
        <w:spacing w:line="276" w:lineRule="auto"/>
        <w:ind w:left="720"/>
        <w:jc w:val="left"/>
      </w:pPr>
    </w:p>
    <w:p w:rsidR="000B4580" w:rsidRPr="00932F66" w:rsidRDefault="00330B81" w:rsidP="00C90243">
      <w:pPr>
        <w:pStyle w:val="aa"/>
        <w:spacing w:line="276" w:lineRule="auto"/>
        <w:ind w:firstLine="709"/>
        <w:jc w:val="both"/>
        <w:rPr>
          <w:b w:val="0"/>
          <w:noProof/>
        </w:rPr>
      </w:pPr>
      <w:r w:rsidRPr="00932F66">
        <w:rPr>
          <w:b w:val="0"/>
        </w:rPr>
        <w:t xml:space="preserve">За даними звіту форми № 2 аас середня кількість справ та матеріалів, що перебували на розгляді в суді в звітний період у розрахунку на одного суддю (виходячи з фактичної кількості суддів на кінець звітного періоду) становила </w:t>
      </w:r>
      <w:r w:rsidRPr="00932F66">
        <w:t>210</w:t>
      </w:r>
      <w:r w:rsidRPr="00932F66">
        <w:rPr>
          <w:b w:val="0"/>
        </w:rPr>
        <w:t xml:space="preserve"> справ</w:t>
      </w:r>
      <w:r w:rsidR="000B4580" w:rsidRPr="00932F66">
        <w:rPr>
          <w:b w:val="0"/>
        </w:rPr>
        <w:t>а, а</w:t>
      </w:r>
      <w:r w:rsidR="000B4580" w:rsidRPr="00932F66">
        <w:rPr>
          <w:b w:val="0"/>
          <w:noProof/>
        </w:rPr>
        <w:t xml:space="preserve"> середня кількість розглянутих справ на одного суддю </w:t>
      </w:r>
      <w:r w:rsidR="000B4580" w:rsidRPr="00932F66">
        <w:rPr>
          <w:noProof/>
        </w:rPr>
        <w:t>180</w:t>
      </w:r>
      <w:r w:rsidR="000B4580" w:rsidRPr="00932F66">
        <w:rPr>
          <w:b w:val="0"/>
          <w:noProof/>
        </w:rPr>
        <w:t xml:space="preserve"> справ та матеріалів. </w:t>
      </w:r>
    </w:p>
    <w:p w:rsidR="00330B81" w:rsidRPr="00932F66" w:rsidRDefault="00330B81" w:rsidP="00C90243">
      <w:pPr>
        <w:pStyle w:val="aa"/>
        <w:spacing w:line="276" w:lineRule="auto"/>
        <w:ind w:firstLine="709"/>
        <w:jc w:val="both"/>
        <w:rPr>
          <w:b w:val="0"/>
          <w:noProof/>
        </w:rPr>
      </w:pPr>
      <w:r w:rsidRPr="00932F66">
        <w:rPr>
          <w:b w:val="0"/>
        </w:rPr>
        <w:t xml:space="preserve">Середня кількість розглянутих справ на одного суддю є базовим показником </w:t>
      </w:r>
      <w:r w:rsidRPr="00932F66">
        <w:rPr>
          <w:b w:val="0"/>
          <w:noProof/>
        </w:rPr>
        <w:t xml:space="preserve">роботи суду в системі оцінювання його діяльності. </w:t>
      </w:r>
    </w:p>
    <w:p w:rsidR="00330B81" w:rsidRPr="00932F66" w:rsidRDefault="00330B81" w:rsidP="00C90243">
      <w:pPr>
        <w:pStyle w:val="aa"/>
        <w:spacing w:line="276" w:lineRule="auto"/>
        <w:ind w:firstLine="709"/>
        <w:jc w:val="both"/>
        <w:rPr>
          <w:b w:val="0"/>
          <w:noProof/>
        </w:rPr>
      </w:pPr>
      <w:r w:rsidRPr="00932F66">
        <w:rPr>
          <w:b w:val="0"/>
          <w:noProof/>
        </w:rPr>
        <w:t>Розрахунок здійснюється за формулою: загальна кількість розглянутих справ та матеріалів за звітний період, поділена на фактичну кількість суддів. Значення цього показника полягає у тому, що він встановлює певний «внутрішній стандарт» суду і може використовуватись для порівняння продуктивності діяльності окремих суддів. Крім того, цей показник має суттєве значення для порівняння ефективності роботи суду в часі та діагностування певних проблем, серед яких – невідповідність фактичної кількості суддів потребам суду.</w:t>
      </w:r>
    </w:p>
    <w:p w:rsidR="00B8528F" w:rsidRPr="00932F66" w:rsidRDefault="00B8528F" w:rsidP="00C90243">
      <w:pPr>
        <w:pStyle w:val="aa"/>
        <w:spacing w:line="276" w:lineRule="auto"/>
        <w:ind w:firstLine="709"/>
        <w:jc w:val="both"/>
        <w:rPr>
          <w:b w:val="0"/>
          <w:noProof/>
        </w:rPr>
      </w:pPr>
    </w:p>
    <w:p w:rsidR="00B8528F" w:rsidRPr="00932F66" w:rsidRDefault="00B8528F" w:rsidP="00EE79A1">
      <w:pPr>
        <w:pStyle w:val="aa"/>
        <w:numPr>
          <w:ilvl w:val="0"/>
          <w:numId w:val="2"/>
        </w:numPr>
        <w:spacing w:line="276" w:lineRule="auto"/>
      </w:pPr>
      <w:r w:rsidRPr="00932F66">
        <w:t>Розгляд справ та матеріалів за апеляційними скаргами.</w:t>
      </w:r>
    </w:p>
    <w:p w:rsidR="00B8528F" w:rsidRPr="00932F66" w:rsidRDefault="00B8528F" w:rsidP="00C90243">
      <w:pPr>
        <w:pStyle w:val="aa"/>
        <w:spacing w:line="276" w:lineRule="auto"/>
        <w:ind w:firstLine="709"/>
      </w:pP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З розглянутих упродовж 2018 року Львівським апеляційним адміністративним судом </w:t>
      </w:r>
      <w:r w:rsidRPr="00932F66">
        <w:rPr>
          <w:rFonts w:ascii="Times New Roman" w:hAnsi="Times New Roman"/>
          <w:b/>
          <w:sz w:val="28"/>
          <w:szCs w:val="28"/>
          <w:lang w:val="ru-RU"/>
        </w:rPr>
        <w:t>7</w:t>
      </w:r>
      <w:r w:rsidRPr="00932F66">
        <w:rPr>
          <w:rFonts w:ascii="Times New Roman" w:hAnsi="Times New Roman"/>
          <w:b/>
          <w:sz w:val="28"/>
          <w:szCs w:val="28"/>
          <w:lang w:val="en-US"/>
        </w:rPr>
        <w:t> </w:t>
      </w:r>
      <w:r w:rsidRPr="00932F66">
        <w:rPr>
          <w:rFonts w:ascii="Times New Roman" w:hAnsi="Times New Roman"/>
          <w:b/>
          <w:sz w:val="28"/>
          <w:szCs w:val="28"/>
          <w:lang w:val="ru-RU"/>
        </w:rPr>
        <w:t xml:space="preserve">886 </w:t>
      </w:r>
      <w:r w:rsidRPr="00932F66">
        <w:rPr>
          <w:rFonts w:ascii="Times New Roman" w:hAnsi="Times New Roman"/>
          <w:sz w:val="28"/>
          <w:szCs w:val="28"/>
        </w:rPr>
        <w:t>адміністративних справ та матеріалів за апеляційними скаргами (</w:t>
      </w:r>
      <w:r w:rsidRPr="00932F66">
        <w:rPr>
          <w:rFonts w:ascii="Times New Roman" w:hAnsi="Times New Roman"/>
          <w:b/>
          <w:sz w:val="28"/>
          <w:szCs w:val="28"/>
        </w:rPr>
        <w:t>діаграма 1</w:t>
      </w:r>
      <w:r w:rsidRPr="00932F66">
        <w:rPr>
          <w:rFonts w:ascii="Times New Roman" w:hAnsi="Times New Roman"/>
          <w:sz w:val="28"/>
          <w:szCs w:val="28"/>
        </w:rPr>
        <w:t>):</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b/>
          <w:sz w:val="28"/>
          <w:szCs w:val="28"/>
          <w:lang w:val="ru-RU"/>
        </w:rPr>
        <w:lastRenderedPageBreak/>
        <w:t>2 392</w:t>
      </w:r>
      <w:r w:rsidRPr="00932F66">
        <w:rPr>
          <w:rFonts w:ascii="Times New Roman" w:hAnsi="Times New Roman"/>
          <w:sz w:val="28"/>
          <w:szCs w:val="28"/>
        </w:rPr>
        <w:t xml:space="preserve"> подані апеляційні скарги повернуто або </w:t>
      </w:r>
      <w:r w:rsidRPr="00932F66">
        <w:rPr>
          <w:rFonts w:ascii="Times New Roman" w:hAnsi="Times New Roman"/>
          <w:b/>
          <w:sz w:val="28"/>
          <w:szCs w:val="28"/>
        </w:rPr>
        <w:t>30,3</w:t>
      </w:r>
      <w:r w:rsidRPr="00932F66">
        <w:rPr>
          <w:rFonts w:ascii="Times New Roman" w:hAnsi="Times New Roman"/>
          <w:sz w:val="28"/>
          <w:szCs w:val="28"/>
        </w:rPr>
        <w:t>% загальної кількості розглянутих адміністративних справ та матеріалів;</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у </w:t>
      </w:r>
      <w:r w:rsidRPr="00932F66">
        <w:rPr>
          <w:rFonts w:ascii="Times New Roman" w:hAnsi="Times New Roman"/>
          <w:b/>
          <w:sz w:val="28"/>
          <w:szCs w:val="28"/>
          <w:lang w:val="ru-RU"/>
        </w:rPr>
        <w:t xml:space="preserve">320 </w:t>
      </w:r>
      <w:r w:rsidRPr="00932F66">
        <w:rPr>
          <w:rFonts w:ascii="Times New Roman" w:hAnsi="Times New Roman"/>
          <w:sz w:val="28"/>
          <w:szCs w:val="28"/>
        </w:rPr>
        <w:t>випадках (</w:t>
      </w:r>
      <w:r w:rsidRPr="00932F66">
        <w:rPr>
          <w:rFonts w:ascii="Times New Roman" w:hAnsi="Times New Roman"/>
          <w:b/>
          <w:sz w:val="28"/>
          <w:szCs w:val="28"/>
        </w:rPr>
        <w:t>4,1</w:t>
      </w:r>
      <w:r w:rsidRPr="00932F66">
        <w:rPr>
          <w:rFonts w:ascii="Times New Roman" w:hAnsi="Times New Roman"/>
          <w:sz w:val="28"/>
          <w:szCs w:val="28"/>
        </w:rPr>
        <w:t>%) відмовлено у відкритті апеляційного провадження;</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b/>
          <w:sz w:val="28"/>
          <w:szCs w:val="28"/>
          <w:lang w:val="ru-RU"/>
        </w:rPr>
        <w:t xml:space="preserve">5 </w:t>
      </w:r>
      <w:r w:rsidRPr="00932F66">
        <w:rPr>
          <w:rFonts w:ascii="Times New Roman" w:hAnsi="Times New Roman"/>
          <w:sz w:val="28"/>
          <w:szCs w:val="28"/>
        </w:rPr>
        <w:t>матеріалів (</w:t>
      </w:r>
      <w:r w:rsidRPr="00932F66">
        <w:rPr>
          <w:rFonts w:ascii="Times New Roman" w:hAnsi="Times New Roman"/>
          <w:b/>
          <w:sz w:val="28"/>
          <w:szCs w:val="28"/>
        </w:rPr>
        <w:t>0,06</w:t>
      </w:r>
      <w:r w:rsidRPr="00932F66">
        <w:rPr>
          <w:rFonts w:ascii="Times New Roman" w:hAnsi="Times New Roman"/>
          <w:sz w:val="28"/>
          <w:szCs w:val="28"/>
        </w:rPr>
        <w:t>%) передано для розгляду в інший апеляційний адміністративний суд .</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b/>
          <w:bCs/>
          <w:sz w:val="28"/>
          <w:szCs w:val="28"/>
        </w:rPr>
        <w:t>11</w:t>
      </w:r>
      <w:r w:rsidRPr="00932F66">
        <w:rPr>
          <w:rFonts w:ascii="Times New Roman" w:hAnsi="Times New Roman"/>
          <w:bCs/>
          <w:sz w:val="28"/>
          <w:szCs w:val="28"/>
        </w:rPr>
        <w:t>апеляційних скарг</w:t>
      </w:r>
      <w:r w:rsidRPr="00932F66">
        <w:rPr>
          <w:rFonts w:ascii="Times New Roman" w:hAnsi="Times New Roman"/>
          <w:b/>
          <w:bCs/>
          <w:sz w:val="28"/>
          <w:szCs w:val="28"/>
        </w:rPr>
        <w:t xml:space="preserve"> (0,1%) </w:t>
      </w:r>
      <w:r w:rsidRPr="00932F66">
        <w:rPr>
          <w:rFonts w:ascii="Times New Roman" w:hAnsi="Times New Roman"/>
          <w:bCs/>
          <w:sz w:val="28"/>
          <w:szCs w:val="28"/>
        </w:rPr>
        <w:t>залишені без розгляду;</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щодо </w:t>
      </w:r>
      <w:r w:rsidRPr="00932F66">
        <w:rPr>
          <w:rFonts w:ascii="Times New Roman" w:hAnsi="Times New Roman"/>
          <w:b/>
          <w:sz w:val="28"/>
          <w:szCs w:val="28"/>
        </w:rPr>
        <w:t>5 174</w:t>
      </w:r>
      <w:r w:rsidRPr="00932F66">
        <w:rPr>
          <w:rFonts w:ascii="Times New Roman" w:hAnsi="Times New Roman"/>
          <w:sz w:val="28"/>
          <w:szCs w:val="28"/>
        </w:rPr>
        <w:t xml:space="preserve"> справ (</w:t>
      </w:r>
      <w:r w:rsidRPr="00932F66">
        <w:rPr>
          <w:rFonts w:ascii="Times New Roman" w:hAnsi="Times New Roman"/>
          <w:b/>
          <w:sz w:val="28"/>
          <w:szCs w:val="28"/>
        </w:rPr>
        <w:t>65,6</w:t>
      </w:r>
      <w:r w:rsidRPr="00932F66">
        <w:rPr>
          <w:rFonts w:ascii="Times New Roman" w:hAnsi="Times New Roman"/>
          <w:sz w:val="28"/>
          <w:szCs w:val="28"/>
        </w:rPr>
        <w:t xml:space="preserve">%) закінчено апеляційний розгляд, з яких у </w:t>
      </w:r>
      <w:r w:rsidRPr="00932F66">
        <w:rPr>
          <w:rFonts w:ascii="Times New Roman" w:hAnsi="Times New Roman"/>
          <w:b/>
          <w:sz w:val="28"/>
          <w:szCs w:val="28"/>
        </w:rPr>
        <w:t>11</w:t>
      </w:r>
      <w:r w:rsidRPr="00932F66">
        <w:rPr>
          <w:rFonts w:ascii="Times New Roman" w:hAnsi="Times New Roman"/>
          <w:sz w:val="28"/>
          <w:szCs w:val="28"/>
        </w:rPr>
        <w:t xml:space="preserve"> справах судом апеляційної інстанції апеляційні скарги залишено без розгляду, у </w:t>
      </w:r>
      <w:r w:rsidRPr="00932F66">
        <w:rPr>
          <w:rFonts w:ascii="Times New Roman" w:hAnsi="Times New Roman"/>
          <w:b/>
          <w:sz w:val="28"/>
          <w:szCs w:val="28"/>
        </w:rPr>
        <w:t>41</w:t>
      </w:r>
      <w:r w:rsidRPr="00932F66">
        <w:rPr>
          <w:rFonts w:ascii="Times New Roman" w:hAnsi="Times New Roman"/>
          <w:sz w:val="28"/>
          <w:szCs w:val="28"/>
        </w:rPr>
        <w:t xml:space="preserve"> справі апеляційне провадження закрито, у </w:t>
      </w:r>
      <w:r w:rsidRPr="00932F66">
        <w:rPr>
          <w:rFonts w:ascii="Times New Roman" w:hAnsi="Times New Roman"/>
          <w:b/>
          <w:sz w:val="28"/>
          <w:szCs w:val="28"/>
        </w:rPr>
        <w:t>12</w:t>
      </w:r>
      <w:r w:rsidRPr="00932F66">
        <w:rPr>
          <w:rFonts w:ascii="Times New Roman" w:hAnsi="Times New Roman"/>
          <w:sz w:val="28"/>
          <w:szCs w:val="28"/>
        </w:rPr>
        <w:t xml:space="preserve"> справах визнано постанови або ухвали судів першої інстанції нечинними та у </w:t>
      </w:r>
      <w:r w:rsidRPr="00932F66">
        <w:rPr>
          <w:rFonts w:ascii="Times New Roman" w:hAnsi="Times New Roman"/>
          <w:b/>
          <w:sz w:val="28"/>
          <w:szCs w:val="28"/>
        </w:rPr>
        <w:t>5 107</w:t>
      </w:r>
      <w:r w:rsidRPr="00932F66">
        <w:rPr>
          <w:rFonts w:ascii="Times New Roman" w:hAnsi="Times New Roman"/>
          <w:sz w:val="28"/>
          <w:szCs w:val="28"/>
        </w:rPr>
        <w:t xml:space="preserve"> справах здійснено апеляційний перегляд судових рішень.</w:t>
      </w:r>
    </w:p>
    <w:p w:rsidR="00B8528F" w:rsidRPr="00932F66" w:rsidRDefault="00662115" w:rsidP="00C90243">
      <w:pPr>
        <w:pStyle w:val="ae"/>
        <w:spacing w:line="276" w:lineRule="auto"/>
        <w:ind w:firstLine="709"/>
        <w:jc w:val="both"/>
        <w:rPr>
          <w:rFonts w:ascii="Times New Roman" w:hAnsi="Times New Roman"/>
          <w:b/>
          <w:sz w:val="28"/>
          <w:szCs w:val="28"/>
        </w:rPr>
      </w:pPr>
      <w:r w:rsidRPr="00932F66">
        <w:rPr>
          <w:rFonts w:ascii="Times New Roman" w:hAnsi="Times New Roman"/>
          <w:b/>
          <w:sz w:val="28"/>
          <w:szCs w:val="28"/>
        </w:rPr>
        <w:tab/>
      </w:r>
      <w:r w:rsidRPr="00932F66">
        <w:rPr>
          <w:rFonts w:ascii="Times New Roman" w:hAnsi="Times New Roman"/>
          <w:b/>
          <w:sz w:val="28"/>
          <w:szCs w:val="28"/>
        </w:rPr>
        <w:tab/>
      </w:r>
      <w:r w:rsidRPr="00932F66">
        <w:rPr>
          <w:rFonts w:ascii="Times New Roman" w:hAnsi="Times New Roman"/>
          <w:b/>
          <w:sz w:val="28"/>
          <w:szCs w:val="28"/>
        </w:rPr>
        <w:tab/>
      </w:r>
      <w:r w:rsidRPr="00932F66">
        <w:rPr>
          <w:rFonts w:ascii="Times New Roman" w:hAnsi="Times New Roman"/>
          <w:b/>
          <w:sz w:val="28"/>
          <w:szCs w:val="28"/>
        </w:rPr>
        <w:tab/>
      </w:r>
      <w:r w:rsidRPr="00932F66">
        <w:rPr>
          <w:rFonts w:ascii="Times New Roman" w:hAnsi="Times New Roman"/>
          <w:b/>
          <w:sz w:val="28"/>
          <w:szCs w:val="28"/>
        </w:rPr>
        <w:tab/>
      </w:r>
      <w:r w:rsidRPr="00932F66">
        <w:rPr>
          <w:rFonts w:ascii="Times New Roman" w:hAnsi="Times New Roman"/>
          <w:b/>
          <w:sz w:val="28"/>
          <w:szCs w:val="28"/>
        </w:rPr>
        <w:tab/>
      </w:r>
      <w:r w:rsidRPr="00932F66">
        <w:rPr>
          <w:rFonts w:ascii="Times New Roman" w:hAnsi="Times New Roman"/>
          <w:b/>
          <w:sz w:val="28"/>
          <w:szCs w:val="28"/>
        </w:rPr>
        <w:tab/>
      </w:r>
      <w:r w:rsidRPr="00932F66">
        <w:rPr>
          <w:rFonts w:ascii="Times New Roman" w:hAnsi="Times New Roman"/>
          <w:b/>
          <w:sz w:val="28"/>
          <w:szCs w:val="28"/>
        </w:rPr>
        <w:tab/>
      </w:r>
      <w:r w:rsidRPr="00932F66">
        <w:rPr>
          <w:rFonts w:ascii="Times New Roman" w:hAnsi="Times New Roman"/>
          <w:b/>
          <w:sz w:val="28"/>
          <w:szCs w:val="28"/>
        </w:rPr>
        <w:tab/>
      </w:r>
      <w:r w:rsidRPr="00932F66">
        <w:rPr>
          <w:rFonts w:ascii="Times New Roman" w:hAnsi="Times New Roman"/>
          <w:b/>
          <w:sz w:val="28"/>
          <w:szCs w:val="28"/>
        </w:rPr>
        <w:tab/>
        <w:t>Діаграма 2</w:t>
      </w:r>
    </w:p>
    <w:p w:rsidR="00B8528F" w:rsidRPr="00932F66" w:rsidRDefault="00B8528F" w:rsidP="00C90243">
      <w:pPr>
        <w:pStyle w:val="aa"/>
        <w:spacing w:line="276" w:lineRule="auto"/>
        <w:ind w:firstLine="709"/>
      </w:pPr>
    </w:p>
    <w:p w:rsidR="00B8528F" w:rsidRPr="00932F66" w:rsidRDefault="00B8528F" w:rsidP="00C90243">
      <w:pPr>
        <w:pStyle w:val="aa"/>
        <w:spacing w:line="276" w:lineRule="auto"/>
        <w:ind w:firstLine="709"/>
      </w:pPr>
      <w:r w:rsidRPr="00932F66">
        <w:t>Рух справ та матеріалів за апеляційними скаргами у</w:t>
      </w:r>
    </w:p>
    <w:p w:rsidR="00B8528F" w:rsidRPr="00932F66" w:rsidRDefault="00B8528F" w:rsidP="00C90243">
      <w:pPr>
        <w:pStyle w:val="aa"/>
        <w:spacing w:line="276" w:lineRule="auto"/>
        <w:ind w:firstLine="709"/>
      </w:pPr>
      <w:r w:rsidRPr="00932F66">
        <w:t xml:space="preserve">Львівському апеляційному адміністративному суді </w:t>
      </w:r>
    </w:p>
    <w:p w:rsidR="00B8528F" w:rsidRPr="00932F66" w:rsidRDefault="00B8528F" w:rsidP="00C90243">
      <w:pPr>
        <w:pStyle w:val="aa"/>
        <w:spacing w:line="276" w:lineRule="auto"/>
        <w:ind w:firstLine="709"/>
      </w:pPr>
      <w:r w:rsidRPr="00932F66">
        <w:t>упродовж 201</w:t>
      </w:r>
      <w:r w:rsidRPr="00932F66">
        <w:rPr>
          <w:lang w:val="ru-RU"/>
        </w:rPr>
        <w:t>8</w:t>
      </w:r>
      <w:r w:rsidRPr="00932F66">
        <w:t xml:space="preserve"> року</w:t>
      </w:r>
      <w:r w:rsidRPr="00932F66">
        <w:rPr>
          <w:noProof/>
          <w:lang w:val="ru-RU"/>
        </w:rPr>
        <w:drawing>
          <wp:inline distT="0" distB="0" distL="0" distR="0">
            <wp:extent cx="5278179" cy="1818167"/>
            <wp:effectExtent l="19050" t="0" r="17721" b="0"/>
            <wp:docPr id="4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528F" w:rsidRPr="00932F66" w:rsidRDefault="00B8528F" w:rsidP="00C90243">
      <w:pPr>
        <w:pStyle w:val="aa"/>
        <w:spacing w:line="276" w:lineRule="auto"/>
        <w:ind w:firstLine="709"/>
      </w:pPr>
    </w:p>
    <w:p w:rsidR="00B8528F" w:rsidRPr="00932F66" w:rsidRDefault="00B8528F" w:rsidP="00C90243">
      <w:pPr>
        <w:pStyle w:val="aa"/>
        <w:spacing w:line="276" w:lineRule="auto"/>
        <w:ind w:firstLine="709"/>
      </w:pPr>
    </w:p>
    <w:p w:rsidR="00B8528F" w:rsidRPr="00932F66" w:rsidRDefault="00B8528F" w:rsidP="00C90243">
      <w:pPr>
        <w:pStyle w:val="ae"/>
        <w:spacing w:line="276" w:lineRule="auto"/>
        <w:ind w:firstLine="709"/>
        <w:rPr>
          <w:rFonts w:ascii="Times New Roman" w:hAnsi="Times New Roman"/>
          <w:sz w:val="28"/>
          <w:szCs w:val="28"/>
        </w:rPr>
      </w:pPr>
      <w:r w:rsidRPr="00932F66">
        <w:rPr>
          <w:rFonts w:ascii="Times New Roman" w:hAnsi="Times New Roman"/>
          <w:noProof/>
          <w:sz w:val="28"/>
          <w:szCs w:val="28"/>
          <w:lang w:val="ru-RU" w:eastAsia="ru-RU"/>
        </w:rPr>
        <w:drawing>
          <wp:inline distT="0" distB="0" distL="0" distR="0">
            <wp:extent cx="5660952" cy="2030819"/>
            <wp:effectExtent l="19050" t="0" r="15948" b="7531"/>
            <wp:docPr id="47"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528F" w:rsidRPr="00932F66" w:rsidRDefault="00B8528F" w:rsidP="00C90243">
      <w:pPr>
        <w:spacing w:line="276" w:lineRule="auto"/>
        <w:rPr>
          <w:lang w:val="uk-UA"/>
        </w:rPr>
      </w:pPr>
    </w:p>
    <w:p w:rsidR="00B8528F" w:rsidRPr="00932F66" w:rsidRDefault="00B8528F" w:rsidP="00C90243">
      <w:pPr>
        <w:pStyle w:val="aa"/>
        <w:spacing w:line="276" w:lineRule="auto"/>
        <w:ind w:firstLine="709"/>
        <w:jc w:val="both"/>
        <w:rPr>
          <w:b w:val="0"/>
        </w:rPr>
      </w:pPr>
      <w:r w:rsidRPr="00932F66">
        <w:rPr>
          <w:b w:val="0"/>
        </w:rPr>
        <w:t xml:space="preserve">Із загальної кількості справ, у яких закінчено апеляційний розгляд (5174 або 56,3% від тих, що перебували на розгляді),  </w:t>
      </w:r>
      <w:r w:rsidRPr="00932F66">
        <w:rPr>
          <w:i/>
        </w:rPr>
        <w:t>апеляційні скарги задоволено</w:t>
      </w:r>
      <w:r w:rsidRPr="00932F66">
        <w:rPr>
          <w:b w:val="0"/>
        </w:rPr>
        <w:t xml:space="preserve"> повністю або частково у 1851 справі або </w:t>
      </w:r>
      <w:r w:rsidRPr="00932F66">
        <w:t>35,8</w:t>
      </w:r>
      <w:r w:rsidRPr="00932F66">
        <w:rPr>
          <w:b w:val="0"/>
        </w:rPr>
        <w:t xml:space="preserve">% справ, у яких закінчено провадження. Із задоволених апеляційних скарг у </w:t>
      </w:r>
      <w:r w:rsidRPr="00932F66">
        <w:t>10</w:t>
      </w:r>
      <w:r w:rsidRPr="00932F66">
        <w:rPr>
          <w:b w:val="0"/>
        </w:rPr>
        <w:t xml:space="preserve"> справах (</w:t>
      </w:r>
      <w:r w:rsidRPr="00932F66">
        <w:t>0,5</w:t>
      </w:r>
      <w:r w:rsidRPr="00932F66">
        <w:rPr>
          <w:b w:val="0"/>
        </w:rPr>
        <w:t xml:space="preserve">%) закінчено </w:t>
      </w:r>
      <w:r w:rsidRPr="00932F66">
        <w:rPr>
          <w:b w:val="0"/>
        </w:rPr>
        <w:lastRenderedPageBreak/>
        <w:t xml:space="preserve">провадження у зв’язку з визнанням постанови або ухвали нечинною, </w:t>
      </w:r>
      <w:r w:rsidRPr="00932F66">
        <w:t>89</w:t>
      </w:r>
      <w:r w:rsidRPr="00932F66">
        <w:rPr>
          <w:b w:val="0"/>
        </w:rPr>
        <w:t xml:space="preserve"> рішень судів першої інстанції змінено або </w:t>
      </w:r>
      <w:r w:rsidRPr="00932F66">
        <w:t>4,8</w:t>
      </w:r>
      <w:r w:rsidRPr="00932F66">
        <w:rPr>
          <w:b w:val="0"/>
        </w:rPr>
        <w:t xml:space="preserve">%,та скасовано апеляційною інстанцією </w:t>
      </w:r>
      <w:r w:rsidRPr="00932F66">
        <w:t>1750</w:t>
      </w:r>
      <w:r w:rsidRPr="00932F66">
        <w:rPr>
          <w:b w:val="0"/>
        </w:rPr>
        <w:t xml:space="preserve"> рішень або </w:t>
      </w:r>
      <w:r w:rsidRPr="00932F66">
        <w:t>33,82</w:t>
      </w:r>
      <w:r w:rsidRPr="00932F66">
        <w:rPr>
          <w:b w:val="0"/>
        </w:rPr>
        <w:t xml:space="preserve">% закінчених провадженням справ. Відносно </w:t>
      </w:r>
      <w:r w:rsidRPr="00932F66">
        <w:t>41</w:t>
      </w:r>
      <w:r w:rsidRPr="00932F66">
        <w:rPr>
          <w:b w:val="0"/>
        </w:rPr>
        <w:t xml:space="preserve"> справи (</w:t>
      </w:r>
      <w:r w:rsidRPr="00932F66">
        <w:t xml:space="preserve">0,8 </w:t>
      </w:r>
      <w:r w:rsidRPr="00932F66">
        <w:rPr>
          <w:b w:val="0"/>
        </w:rPr>
        <w:t xml:space="preserve">%) </w:t>
      </w:r>
      <w:r w:rsidRPr="00932F66">
        <w:rPr>
          <w:i/>
        </w:rPr>
        <w:t>закрито апеляційне провадження.</w:t>
      </w:r>
    </w:p>
    <w:p w:rsidR="00B8528F" w:rsidRPr="00932F66" w:rsidRDefault="00B8528F" w:rsidP="00C90243">
      <w:pPr>
        <w:pStyle w:val="aa"/>
        <w:spacing w:line="276" w:lineRule="auto"/>
        <w:ind w:firstLine="709"/>
        <w:jc w:val="both"/>
        <w:rPr>
          <w:b w:val="0"/>
        </w:rPr>
      </w:pPr>
      <w:r w:rsidRPr="00932F66">
        <w:rPr>
          <w:b w:val="0"/>
        </w:rPr>
        <w:t xml:space="preserve">Із загальної кількості розглянутих (7886) у 2018 році справ </w:t>
      </w:r>
      <w:r w:rsidRPr="00932F66">
        <w:t>6 644</w:t>
      </w:r>
      <w:r w:rsidRPr="00932F66">
        <w:rPr>
          <w:b w:val="0"/>
        </w:rPr>
        <w:t xml:space="preserve">(84,6%) – це апеляційні скарги на постанови судів першої інстанції, щодо яких апеляційною інстанцією винесено кінцеві рішення, </w:t>
      </w:r>
      <w:r w:rsidRPr="00932F66">
        <w:t>1242</w:t>
      </w:r>
      <w:r w:rsidRPr="00932F66">
        <w:rPr>
          <w:b w:val="0"/>
        </w:rPr>
        <w:t xml:space="preserve"> (15,7%) – на ухвали судів першої інстанції.</w:t>
      </w:r>
    </w:p>
    <w:p w:rsidR="00B8528F" w:rsidRPr="00932F66" w:rsidRDefault="00B8528F" w:rsidP="00C90243">
      <w:pPr>
        <w:pStyle w:val="aa"/>
        <w:spacing w:line="276" w:lineRule="auto"/>
        <w:ind w:firstLine="709"/>
        <w:jc w:val="both"/>
        <w:rPr>
          <w:b w:val="0"/>
        </w:rPr>
      </w:pPr>
      <w:r w:rsidRPr="00932F66">
        <w:rPr>
          <w:b w:val="0"/>
        </w:rPr>
        <w:t>За даними звіту форми № 2 аас перебувало в провадженні</w:t>
      </w:r>
      <w:r w:rsidRPr="00932F66">
        <w:t>2 538</w:t>
      </w:r>
      <w:r w:rsidRPr="00932F66">
        <w:rPr>
          <w:b w:val="0"/>
        </w:rPr>
        <w:t xml:space="preserve"> або </w:t>
      </w:r>
      <w:r w:rsidRPr="00932F66">
        <w:t>27,5</w:t>
      </w:r>
      <w:r w:rsidRPr="00932F66">
        <w:rPr>
          <w:b w:val="0"/>
        </w:rPr>
        <w:t xml:space="preserve">% справ, де апеляційні скарги подано фізичними особами, та </w:t>
      </w:r>
      <w:r w:rsidRPr="00932F66">
        <w:t>6 667</w:t>
      </w:r>
      <w:r w:rsidRPr="00932F66">
        <w:rPr>
          <w:b w:val="0"/>
        </w:rPr>
        <w:t xml:space="preserve"> або </w:t>
      </w:r>
      <w:r w:rsidRPr="00932F66">
        <w:t>72,4</w:t>
      </w:r>
      <w:r w:rsidRPr="00932F66">
        <w:rPr>
          <w:b w:val="0"/>
        </w:rPr>
        <w:t>% - юридичними особами, серед яких 5 870 або 63,8% подано апеляційні скарги суб’єктами владних повноважень.</w:t>
      </w:r>
    </w:p>
    <w:p w:rsidR="00B8528F" w:rsidRPr="00932F66" w:rsidRDefault="00B8528F" w:rsidP="00C90243">
      <w:pPr>
        <w:pStyle w:val="aa"/>
        <w:spacing w:line="276" w:lineRule="auto"/>
        <w:ind w:firstLine="709"/>
        <w:jc w:val="both"/>
        <w:rPr>
          <w:b w:val="0"/>
        </w:rPr>
      </w:pPr>
      <w:r w:rsidRPr="00932F66">
        <w:rPr>
          <w:b w:val="0"/>
        </w:rPr>
        <w:t xml:space="preserve">За даними звіту форми 22-А упродовж 2018 році у порядку </w:t>
      </w:r>
      <w:r w:rsidRPr="00932F66">
        <w:rPr>
          <w:i/>
        </w:rPr>
        <w:t>письмового провадження</w:t>
      </w:r>
      <w:r w:rsidRPr="00932F66">
        <w:rPr>
          <w:b w:val="0"/>
        </w:rPr>
        <w:t xml:space="preserve"> апеляційним судом розглянуто </w:t>
      </w:r>
      <w:r w:rsidRPr="00932F66">
        <w:t>579</w:t>
      </w:r>
      <w:r w:rsidRPr="00932F66">
        <w:rPr>
          <w:b w:val="0"/>
        </w:rPr>
        <w:t xml:space="preserve"> справ,що становить </w:t>
      </w:r>
      <w:r w:rsidRPr="00932F66">
        <w:t>11,2</w:t>
      </w:r>
      <w:r w:rsidRPr="00932F66">
        <w:rPr>
          <w:b w:val="0"/>
        </w:rPr>
        <w:t>% загальної кількості справ, у яких закінчено провадження.</w:t>
      </w:r>
    </w:p>
    <w:p w:rsidR="00B8528F" w:rsidRPr="00932F66" w:rsidRDefault="00B8528F" w:rsidP="00C90243">
      <w:pPr>
        <w:pStyle w:val="aa"/>
        <w:spacing w:line="276" w:lineRule="auto"/>
        <w:ind w:firstLine="709"/>
        <w:jc w:val="both"/>
        <w:rPr>
          <w:b w:val="0"/>
        </w:rPr>
      </w:pPr>
      <w:r w:rsidRPr="00932F66">
        <w:rPr>
          <w:b w:val="0"/>
        </w:rPr>
        <w:t xml:space="preserve">Відповідно до ч.6 ст.12 КАС України в апеляційній інстанції із застосуванням засобів </w:t>
      </w:r>
      <w:r w:rsidRPr="00932F66">
        <w:rPr>
          <w:i/>
        </w:rPr>
        <w:t>фіксування судового процесу технічними засобами</w:t>
      </w:r>
      <w:r w:rsidRPr="00932F66">
        <w:rPr>
          <w:b w:val="0"/>
        </w:rPr>
        <w:t xml:space="preserve"> розглянуто</w:t>
      </w:r>
      <w:r w:rsidRPr="00932F66">
        <w:t>4</w:t>
      </w:r>
      <w:r w:rsidR="00F87854">
        <w:t> </w:t>
      </w:r>
      <w:r w:rsidRPr="00932F66">
        <w:t>600</w:t>
      </w:r>
      <w:r w:rsidRPr="00932F66">
        <w:rPr>
          <w:b w:val="0"/>
        </w:rPr>
        <w:t xml:space="preserve">або </w:t>
      </w:r>
      <w:r w:rsidRPr="00932F66">
        <w:t>88,9</w:t>
      </w:r>
      <w:r w:rsidRPr="00932F66">
        <w:rPr>
          <w:b w:val="0"/>
        </w:rPr>
        <w:t xml:space="preserve">% усіх справ, у яких закінчено провадження (5 174). Відповідно до звіту форми 2 аас у 2018 році розглянуто </w:t>
      </w:r>
      <w:r w:rsidRPr="00932F66">
        <w:t>13</w:t>
      </w:r>
      <w:r w:rsidRPr="00932F66">
        <w:rPr>
          <w:b w:val="0"/>
        </w:rPr>
        <w:t xml:space="preserve"> справ, судове провадження в яких здійснювалось у режимі відеоконференції.</w:t>
      </w:r>
    </w:p>
    <w:p w:rsidR="00B8528F" w:rsidRPr="00932F66" w:rsidRDefault="00B8528F" w:rsidP="00C90243">
      <w:pPr>
        <w:pStyle w:val="aa"/>
        <w:spacing w:line="276" w:lineRule="auto"/>
        <w:ind w:firstLine="709"/>
        <w:jc w:val="both"/>
        <w:rPr>
          <w:b w:val="0"/>
        </w:rPr>
      </w:pPr>
      <w:r w:rsidRPr="00932F66">
        <w:rPr>
          <w:b w:val="0"/>
        </w:rPr>
        <w:t xml:space="preserve">З метою реагування на виявлені під час розгляду справи порушення законодавства Львівським апеляційним адміністративним судом у 2018 році постановлено </w:t>
      </w:r>
      <w:r w:rsidRPr="00932F66">
        <w:t>6</w:t>
      </w:r>
      <w:r w:rsidRPr="00932F66">
        <w:rPr>
          <w:b w:val="0"/>
        </w:rPr>
        <w:t xml:space="preserve"> окремих ухвал щодо порушень норм права.</w:t>
      </w:r>
    </w:p>
    <w:p w:rsidR="00B8528F" w:rsidRPr="00932F66" w:rsidRDefault="00B8528F" w:rsidP="00C90243">
      <w:pPr>
        <w:pStyle w:val="aa"/>
        <w:spacing w:line="276" w:lineRule="auto"/>
        <w:ind w:firstLine="709"/>
        <w:jc w:val="both"/>
        <w:rPr>
          <w:b w:val="0"/>
        </w:rPr>
      </w:pPr>
      <w:r w:rsidRPr="00932F66">
        <w:rPr>
          <w:b w:val="0"/>
        </w:rPr>
        <w:t xml:space="preserve">За </w:t>
      </w:r>
      <w:r w:rsidRPr="00932F66">
        <w:rPr>
          <w:i/>
        </w:rPr>
        <w:t>окремими ухвалами</w:t>
      </w:r>
      <w:r w:rsidRPr="00932F66">
        <w:rPr>
          <w:b w:val="0"/>
        </w:rPr>
        <w:t xml:space="preserve"> у 201</w:t>
      </w:r>
      <w:r w:rsidRPr="00932F66">
        <w:rPr>
          <w:b w:val="0"/>
          <w:lang w:val="ru-RU"/>
        </w:rPr>
        <w:t>8</w:t>
      </w:r>
      <w:r w:rsidRPr="00932F66">
        <w:rPr>
          <w:b w:val="0"/>
        </w:rPr>
        <w:t xml:space="preserve"> році надійшло </w:t>
      </w:r>
      <w:r w:rsidRPr="00932F66">
        <w:rPr>
          <w:lang w:val="ru-RU"/>
        </w:rPr>
        <w:t>5</w:t>
      </w:r>
      <w:r w:rsidRPr="00932F66">
        <w:rPr>
          <w:b w:val="0"/>
        </w:rPr>
        <w:t xml:space="preserve"> повідомлень про вжиті заходи. У Львівському апеляційному адміністративному суді строки реагування на порушення, зазначені в окремих ухвалах, перебувають на постійному контролі. У разі пропуску встановленого ч.1 ст. 166 КАС України терміну повідомлення про вжиті заходи за окремими ухвалами таким суб’єктам владних повноважень надсилається нагадування.</w:t>
      </w:r>
    </w:p>
    <w:p w:rsidR="00AE7027" w:rsidRDefault="00B8528F" w:rsidP="00AE7027">
      <w:pPr>
        <w:pStyle w:val="aa"/>
        <w:spacing w:line="276" w:lineRule="auto"/>
        <w:ind w:firstLine="709"/>
        <w:jc w:val="both"/>
        <w:rPr>
          <w:b w:val="0"/>
        </w:rPr>
      </w:pPr>
      <w:r w:rsidRPr="00932F66">
        <w:rPr>
          <w:b w:val="0"/>
        </w:rPr>
        <w:t xml:space="preserve">За даними звіту форми № 2 аас у 2018 році з метою виправлення описок і очевидних арифметичних помилок відповідно до ст. 253 КАС України за заявами осіб, що брали участь у справі, чи інших заінтересованих осіб, а також з власної ініціативи суду,а також щодо роз’яснень судових рішень відповідно до ст. 254 КАС України та ухвалення додаткових відповідно до ст. 252 КАС України  судом винесено </w:t>
      </w:r>
      <w:r w:rsidRPr="00932F66">
        <w:t>345</w:t>
      </w:r>
      <w:r w:rsidRPr="00932F66">
        <w:rPr>
          <w:b w:val="0"/>
        </w:rPr>
        <w:t xml:space="preserve"> ухвал.</w:t>
      </w:r>
    </w:p>
    <w:p w:rsidR="00AE7027" w:rsidRPr="00932F66" w:rsidRDefault="00AE7027" w:rsidP="00AE7027">
      <w:pPr>
        <w:pStyle w:val="aa"/>
        <w:spacing w:line="276" w:lineRule="auto"/>
        <w:ind w:firstLine="709"/>
        <w:jc w:val="both"/>
        <w:rPr>
          <w:b w:val="0"/>
        </w:rPr>
      </w:pPr>
    </w:p>
    <w:p w:rsidR="00B8528F" w:rsidRPr="00932F66" w:rsidRDefault="00B8528F" w:rsidP="00EE79A1">
      <w:pPr>
        <w:pStyle w:val="aa"/>
        <w:numPr>
          <w:ilvl w:val="1"/>
          <w:numId w:val="2"/>
        </w:numPr>
        <w:spacing w:line="276" w:lineRule="auto"/>
      </w:pPr>
      <w:r w:rsidRPr="00932F66">
        <w:t>Апеляційний перегляд постанов судів першої інстанції.</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Загалом, у 201</w:t>
      </w:r>
      <w:r w:rsidRPr="00932F66">
        <w:rPr>
          <w:rFonts w:ascii="Times New Roman" w:hAnsi="Times New Roman"/>
          <w:sz w:val="28"/>
          <w:szCs w:val="28"/>
          <w:lang w:val="ru-RU"/>
        </w:rPr>
        <w:t>8</w:t>
      </w:r>
      <w:r w:rsidRPr="00932F66">
        <w:rPr>
          <w:rFonts w:ascii="Times New Roman" w:hAnsi="Times New Roman"/>
          <w:sz w:val="28"/>
          <w:szCs w:val="28"/>
        </w:rPr>
        <w:t xml:space="preserve"> році в апеляційному порядку розглянуто </w:t>
      </w:r>
      <w:r w:rsidRPr="00932F66">
        <w:rPr>
          <w:rFonts w:ascii="Times New Roman" w:hAnsi="Times New Roman"/>
          <w:b/>
          <w:sz w:val="28"/>
          <w:szCs w:val="28"/>
          <w:lang w:val="ru-RU"/>
        </w:rPr>
        <w:t xml:space="preserve">4 328 </w:t>
      </w:r>
      <w:r w:rsidRPr="00932F66">
        <w:rPr>
          <w:rFonts w:ascii="Times New Roman" w:hAnsi="Times New Roman"/>
          <w:sz w:val="28"/>
          <w:szCs w:val="28"/>
        </w:rPr>
        <w:t xml:space="preserve">справ </w:t>
      </w:r>
      <w:r w:rsidRPr="00932F66">
        <w:rPr>
          <w:rFonts w:ascii="Times New Roman" w:hAnsi="Times New Roman"/>
          <w:i/>
          <w:sz w:val="28"/>
          <w:szCs w:val="28"/>
        </w:rPr>
        <w:t>за апеляційними скаргами на постанови</w:t>
      </w:r>
      <w:r w:rsidRPr="00932F66">
        <w:rPr>
          <w:rFonts w:ascii="Times New Roman" w:hAnsi="Times New Roman"/>
          <w:sz w:val="28"/>
          <w:szCs w:val="28"/>
        </w:rPr>
        <w:t xml:space="preserve"> адміністративних судів або </w:t>
      </w:r>
      <w:r w:rsidRPr="00932F66">
        <w:rPr>
          <w:rFonts w:ascii="Times New Roman" w:hAnsi="Times New Roman"/>
          <w:b/>
          <w:i/>
          <w:sz w:val="28"/>
          <w:szCs w:val="28"/>
        </w:rPr>
        <w:t>55,6</w:t>
      </w:r>
      <w:r w:rsidRPr="00932F66">
        <w:rPr>
          <w:rFonts w:ascii="Times New Roman" w:hAnsi="Times New Roman"/>
          <w:i/>
          <w:sz w:val="28"/>
          <w:szCs w:val="28"/>
        </w:rPr>
        <w:t xml:space="preserve">% </w:t>
      </w:r>
      <w:r w:rsidRPr="00932F66">
        <w:rPr>
          <w:rFonts w:ascii="Times New Roman" w:hAnsi="Times New Roman"/>
          <w:sz w:val="28"/>
          <w:szCs w:val="28"/>
        </w:rPr>
        <w:t xml:space="preserve">від </w:t>
      </w:r>
      <w:r w:rsidRPr="00932F66">
        <w:rPr>
          <w:rFonts w:ascii="Times New Roman" w:hAnsi="Times New Roman"/>
          <w:sz w:val="28"/>
          <w:szCs w:val="28"/>
        </w:rPr>
        <w:lastRenderedPageBreak/>
        <w:t>кількості усіх справ за апеляційними скаргами на постанови судів першої інстанції, що перебували на розгляді (</w:t>
      </w:r>
      <w:r w:rsidRPr="00932F66">
        <w:rPr>
          <w:rFonts w:ascii="Times New Roman" w:hAnsi="Times New Roman"/>
          <w:sz w:val="28"/>
          <w:szCs w:val="28"/>
          <w:lang w:val="ru-RU"/>
        </w:rPr>
        <w:t>7 784</w:t>
      </w:r>
      <w:r w:rsidRPr="00932F66">
        <w:rPr>
          <w:rFonts w:ascii="Times New Roman" w:hAnsi="Times New Roman"/>
          <w:sz w:val="28"/>
          <w:szCs w:val="28"/>
        </w:rPr>
        <w:t>).</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З </w:t>
      </w:r>
      <w:r w:rsidRPr="00932F66">
        <w:rPr>
          <w:rFonts w:ascii="Times New Roman" w:hAnsi="Times New Roman"/>
          <w:b/>
          <w:sz w:val="28"/>
          <w:szCs w:val="28"/>
        </w:rPr>
        <w:t>4 377</w:t>
      </w:r>
      <w:r w:rsidRPr="00932F66">
        <w:rPr>
          <w:rFonts w:ascii="Times New Roman" w:hAnsi="Times New Roman"/>
          <w:sz w:val="28"/>
          <w:szCs w:val="28"/>
        </w:rPr>
        <w:t xml:space="preserve"> справ, у яких закінчено апеляційне провадження за апеляційними скаргами на </w:t>
      </w:r>
      <w:r w:rsidRPr="00932F66">
        <w:rPr>
          <w:rFonts w:ascii="Times New Roman" w:hAnsi="Times New Roman"/>
          <w:i/>
          <w:sz w:val="28"/>
          <w:szCs w:val="28"/>
        </w:rPr>
        <w:t>постанови</w:t>
      </w:r>
      <w:r w:rsidRPr="00932F66">
        <w:rPr>
          <w:rFonts w:ascii="Times New Roman" w:hAnsi="Times New Roman"/>
          <w:sz w:val="28"/>
          <w:szCs w:val="28"/>
        </w:rPr>
        <w:t xml:space="preserve"> адміністративних судів, подані апеляційні скарги задоволено (скасовано та змінено апеляційною інстанцією) у </w:t>
      </w:r>
      <w:r w:rsidRPr="00932F66">
        <w:rPr>
          <w:rFonts w:ascii="Times New Roman" w:hAnsi="Times New Roman"/>
          <w:b/>
          <w:sz w:val="28"/>
          <w:szCs w:val="28"/>
        </w:rPr>
        <w:t>1471</w:t>
      </w:r>
      <w:r w:rsidRPr="00932F66">
        <w:rPr>
          <w:rFonts w:ascii="Times New Roman" w:hAnsi="Times New Roman"/>
          <w:sz w:val="28"/>
          <w:szCs w:val="28"/>
        </w:rPr>
        <w:t xml:space="preserve"> справ, що у відсотковому відношенні складає </w:t>
      </w:r>
      <w:r w:rsidRPr="00932F66">
        <w:rPr>
          <w:rFonts w:ascii="Times New Roman" w:hAnsi="Times New Roman"/>
          <w:b/>
          <w:sz w:val="28"/>
          <w:szCs w:val="28"/>
        </w:rPr>
        <w:t>33,6</w:t>
      </w:r>
      <w:r w:rsidRPr="00932F66">
        <w:rPr>
          <w:rFonts w:ascii="Times New Roman" w:hAnsi="Times New Roman"/>
          <w:sz w:val="28"/>
          <w:szCs w:val="28"/>
        </w:rPr>
        <w:t>% справ даного різновиду, в яких закінчено апеляційне провадження.</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Апеляційне провадження закрито у </w:t>
      </w:r>
      <w:r w:rsidRPr="00932F66">
        <w:rPr>
          <w:rFonts w:ascii="Times New Roman" w:hAnsi="Times New Roman"/>
          <w:b/>
          <w:i/>
          <w:sz w:val="28"/>
          <w:szCs w:val="28"/>
        </w:rPr>
        <w:t>25</w:t>
      </w:r>
      <w:r w:rsidRPr="00932F66">
        <w:rPr>
          <w:rFonts w:ascii="Times New Roman" w:hAnsi="Times New Roman"/>
          <w:sz w:val="28"/>
          <w:szCs w:val="28"/>
        </w:rPr>
        <w:t xml:space="preserve"> справах щодо переглянутих постанов судів першої інстанції або </w:t>
      </w:r>
      <w:r w:rsidRPr="00932F66">
        <w:rPr>
          <w:rFonts w:ascii="Times New Roman" w:hAnsi="Times New Roman"/>
          <w:b/>
          <w:sz w:val="28"/>
          <w:szCs w:val="28"/>
        </w:rPr>
        <w:t>0,5</w:t>
      </w:r>
      <w:r w:rsidRPr="00932F66">
        <w:rPr>
          <w:rFonts w:ascii="Times New Roman" w:hAnsi="Times New Roman"/>
          <w:sz w:val="28"/>
          <w:szCs w:val="28"/>
        </w:rPr>
        <w:t>%  від тих, апеляційний розгляд у яких закінчено.</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З </w:t>
      </w:r>
      <w:r w:rsidRPr="00932F66">
        <w:rPr>
          <w:rFonts w:ascii="Times New Roman" w:hAnsi="Times New Roman"/>
          <w:b/>
          <w:sz w:val="28"/>
          <w:szCs w:val="28"/>
        </w:rPr>
        <w:t>4 377</w:t>
      </w:r>
      <w:r w:rsidRPr="00932F66">
        <w:rPr>
          <w:rFonts w:ascii="Times New Roman" w:hAnsi="Times New Roman"/>
          <w:sz w:val="28"/>
          <w:szCs w:val="28"/>
        </w:rPr>
        <w:t xml:space="preserve"> справ, у яких закінчено апеляційне провадження за апеляційними скаргами на </w:t>
      </w:r>
      <w:r w:rsidRPr="00932F66">
        <w:rPr>
          <w:rFonts w:ascii="Times New Roman" w:hAnsi="Times New Roman"/>
          <w:i/>
          <w:sz w:val="28"/>
          <w:szCs w:val="28"/>
        </w:rPr>
        <w:t>постанови</w:t>
      </w:r>
      <w:r w:rsidRPr="00932F66">
        <w:rPr>
          <w:rFonts w:ascii="Times New Roman" w:hAnsi="Times New Roman"/>
          <w:sz w:val="28"/>
          <w:szCs w:val="28"/>
        </w:rPr>
        <w:t xml:space="preserve"> адміністративних судів, </w:t>
      </w:r>
      <w:r w:rsidRPr="00932F66">
        <w:rPr>
          <w:rFonts w:ascii="Times New Roman" w:hAnsi="Times New Roman"/>
          <w:b/>
          <w:sz w:val="28"/>
          <w:szCs w:val="28"/>
        </w:rPr>
        <w:t xml:space="preserve">10 </w:t>
      </w:r>
      <w:r w:rsidRPr="00932F66">
        <w:rPr>
          <w:rFonts w:ascii="Times New Roman" w:hAnsi="Times New Roman"/>
          <w:sz w:val="28"/>
          <w:szCs w:val="28"/>
        </w:rPr>
        <w:t xml:space="preserve">постанов судів першої інстанції визнано нечинними або </w:t>
      </w:r>
      <w:r w:rsidRPr="00932F66">
        <w:rPr>
          <w:rFonts w:ascii="Times New Roman" w:hAnsi="Times New Roman"/>
          <w:b/>
          <w:sz w:val="28"/>
          <w:szCs w:val="28"/>
        </w:rPr>
        <w:t>0,2</w:t>
      </w:r>
      <w:r w:rsidRPr="00932F66">
        <w:rPr>
          <w:rFonts w:ascii="Times New Roman" w:hAnsi="Times New Roman"/>
          <w:sz w:val="28"/>
          <w:szCs w:val="28"/>
        </w:rPr>
        <w:t>%.</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Окремому аналізу підлягають адміністративні справи, у яких постанови судів першої інстанції за наслідками їх перегляду були скасовані апеляційним адміністративним судом.</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Загальна кількість таких справ у звітному періоді склала </w:t>
      </w:r>
      <w:r w:rsidRPr="00932F66">
        <w:rPr>
          <w:rFonts w:ascii="Times New Roman" w:hAnsi="Times New Roman"/>
          <w:b/>
          <w:sz w:val="28"/>
          <w:szCs w:val="28"/>
        </w:rPr>
        <w:t>1</w:t>
      </w:r>
      <w:r w:rsidR="003E6DBA">
        <w:rPr>
          <w:rFonts w:ascii="Times New Roman" w:hAnsi="Times New Roman"/>
          <w:b/>
          <w:sz w:val="28"/>
          <w:szCs w:val="28"/>
        </w:rPr>
        <w:t> </w:t>
      </w:r>
      <w:r w:rsidRPr="00932F66">
        <w:rPr>
          <w:rFonts w:ascii="Times New Roman" w:hAnsi="Times New Roman"/>
          <w:b/>
          <w:sz w:val="28"/>
          <w:szCs w:val="28"/>
        </w:rPr>
        <w:t>386</w:t>
      </w:r>
      <w:r w:rsidRPr="00932F66">
        <w:rPr>
          <w:rFonts w:ascii="Times New Roman" w:hAnsi="Times New Roman"/>
          <w:sz w:val="28"/>
          <w:szCs w:val="28"/>
        </w:rPr>
        <w:t xml:space="preserve">справ або </w:t>
      </w:r>
      <w:r w:rsidRPr="00932F66">
        <w:rPr>
          <w:rFonts w:ascii="Times New Roman" w:hAnsi="Times New Roman"/>
          <w:b/>
          <w:sz w:val="28"/>
          <w:szCs w:val="28"/>
        </w:rPr>
        <w:t>32</w:t>
      </w:r>
      <w:r w:rsidRPr="00932F66">
        <w:rPr>
          <w:rFonts w:ascii="Times New Roman" w:hAnsi="Times New Roman"/>
          <w:sz w:val="28"/>
          <w:szCs w:val="28"/>
        </w:rPr>
        <w:t>% справ, у яких закінчено апеляційний розгляд щодо постанов судів першої інстанції (4328).</w:t>
      </w:r>
    </w:p>
    <w:p w:rsidR="00B8528F" w:rsidRPr="00932F66" w:rsidRDefault="00B8528F" w:rsidP="00C90243">
      <w:pPr>
        <w:pStyle w:val="ae"/>
        <w:spacing w:line="276" w:lineRule="auto"/>
        <w:ind w:firstLine="709"/>
        <w:rPr>
          <w:rFonts w:ascii="Times New Roman" w:hAnsi="Times New Roman"/>
          <w:sz w:val="28"/>
          <w:szCs w:val="28"/>
        </w:rPr>
      </w:pPr>
      <w:r w:rsidRPr="00932F66">
        <w:rPr>
          <w:rFonts w:ascii="Times New Roman" w:hAnsi="Times New Roman"/>
          <w:sz w:val="28"/>
          <w:szCs w:val="28"/>
        </w:rPr>
        <w:t>Наслідками скасування постанов судів першої інстанції є:</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 закриття провадження у справі – </w:t>
      </w:r>
      <w:r w:rsidRPr="00932F66">
        <w:rPr>
          <w:rFonts w:ascii="Times New Roman" w:hAnsi="Times New Roman"/>
          <w:b/>
          <w:sz w:val="28"/>
          <w:szCs w:val="28"/>
        </w:rPr>
        <w:t>64</w:t>
      </w:r>
      <w:r w:rsidRPr="00932F66">
        <w:rPr>
          <w:rFonts w:ascii="Times New Roman" w:hAnsi="Times New Roman"/>
          <w:sz w:val="28"/>
          <w:szCs w:val="28"/>
        </w:rPr>
        <w:t xml:space="preserve"> адміністративні справи (4,6% скасованих постанов);</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 залишення позовної заяви без розгляду – </w:t>
      </w:r>
      <w:r w:rsidRPr="00932F66">
        <w:rPr>
          <w:rFonts w:ascii="Times New Roman" w:hAnsi="Times New Roman"/>
          <w:b/>
          <w:sz w:val="28"/>
          <w:szCs w:val="28"/>
        </w:rPr>
        <w:t>38</w:t>
      </w:r>
      <w:r w:rsidRPr="00932F66">
        <w:rPr>
          <w:rFonts w:ascii="Times New Roman" w:hAnsi="Times New Roman"/>
          <w:sz w:val="28"/>
          <w:szCs w:val="28"/>
        </w:rPr>
        <w:t xml:space="preserve"> адміністративних справ (2,7%);</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 прийняття нової постанови – </w:t>
      </w:r>
      <w:r w:rsidRPr="00932F66">
        <w:rPr>
          <w:rFonts w:ascii="Times New Roman" w:hAnsi="Times New Roman"/>
          <w:b/>
          <w:sz w:val="28"/>
          <w:szCs w:val="28"/>
        </w:rPr>
        <w:t>1284</w:t>
      </w:r>
      <w:r w:rsidRPr="00932F66">
        <w:rPr>
          <w:rFonts w:ascii="Times New Roman" w:hAnsi="Times New Roman"/>
          <w:sz w:val="28"/>
          <w:szCs w:val="28"/>
        </w:rPr>
        <w:t xml:space="preserve"> постанов (92,6%).</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Відсоток скасованих у 2018 році постанов становить по відношенню до переглянутих Львівським апеляційним адміністративним судом, що надійшли з місцевих загальних судів Закарпатської (</w:t>
      </w:r>
      <w:r w:rsidRPr="00932F66">
        <w:rPr>
          <w:rFonts w:ascii="Times New Roman" w:hAnsi="Times New Roman"/>
          <w:b/>
          <w:sz w:val="28"/>
          <w:szCs w:val="28"/>
        </w:rPr>
        <w:t>37,4</w:t>
      </w:r>
      <w:r w:rsidRPr="00932F66">
        <w:rPr>
          <w:rFonts w:ascii="Times New Roman" w:hAnsi="Times New Roman"/>
          <w:sz w:val="28"/>
          <w:szCs w:val="28"/>
        </w:rPr>
        <w:t>%), Волинської (</w:t>
      </w:r>
      <w:r w:rsidRPr="00932F66">
        <w:rPr>
          <w:rFonts w:ascii="Times New Roman" w:hAnsi="Times New Roman"/>
          <w:b/>
          <w:sz w:val="28"/>
          <w:szCs w:val="28"/>
        </w:rPr>
        <w:t>39,5</w:t>
      </w:r>
      <w:r w:rsidRPr="00932F66">
        <w:rPr>
          <w:rFonts w:ascii="Times New Roman" w:hAnsi="Times New Roman"/>
          <w:sz w:val="28"/>
          <w:szCs w:val="28"/>
        </w:rPr>
        <w:t>%), Львівської (</w:t>
      </w:r>
      <w:r w:rsidRPr="00932F66">
        <w:rPr>
          <w:rFonts w:ascii="Times New Roman" w:hAnsi="Times New Roman"/>
          <w:b/>
          <w:sz w:val="28"/>
          <w:szCs w:val="28"/>
        </w:rPr>
        <w:t>37,6</w:t>
      </w:r>
      <w:r w:rsidRPr="00932F66">
        <w:rPr>
          <w:rFonts w:ascii="Times New Roman" w:hAnsi="Times New Roman"/>
          <w:sz w:val="28"/>
          <w:szCs w:val="28"/>
        </w:rPr>
        <w:t>%),  Івано-Франківської (</w:t>
      </w:r>
      <w:r w:rsidRPr="00932F66">
        <w:rPr>
          <w:rFonts w:ascii="Times New Roman" w:hAnsi="Times New Roman"/>
          <w:b/>
          <w:sz w:val="28"/>
          <w:szCs w:val="28"/>
        </w:rPr>
        <w:t>44,1</w:t>
      </w:r>
      <w:r w:rsidRPr="00932F66">
        <w:rPr>
          <w:rFonts w:ascii="Times New Roman" w:hAnsi="Times New Roman"/>
          <w:sz w:val="28"/>
          <w:szCs w:val="28"/>
        </w:rPr>
        <w:t>%) та Тернопільської (</w:t>
      </w:r>
      <w:r w:rsidRPr="00932F66">
        <w:rPr>
          <w:rFonts w:ascii="Times New Roman" w:hAnsi="Times New Roman"/>
          <w:b/>
          <w:sz w:val="28"/>
          <w:szCs w:val="28"/>
        </w:rPr>
        <w:t>27,4%</w:t>
      </w:r>
      <w:r w:rsidRPr="00932F66">
        <w:rPr>
          <w:rFonts w:ascii="Times New Roman" w:hAnsi="Times New Roman"/>
          <w:sz w:val="28"/>
          <w:szCs w:val="28"/>
        </w:rPr>
        <w:t>) областей .</w:t>
      </w:r>
    </w:p>
    <w:p w:rsidR="00B8528F" w:rsidRPr="00932F66" w:rsidRDefault="00B8528F" w:rsidP="00C90243">
      <w:pPr>
        <w:spacing w:line="276" w:lineRule="auto"/>
        <w:jc w:val="both"/>
        <w:rPr>
          <w:sz w:val="28"/>
          <w:szCs w:val="28"/>
          <w:lang w:val="uk-UA"/>
        </w:rPr>
      </w:pPr>
      <w:r w:rsidRPr="00932F66">
        <w:rPr>
          <w:sz w:val="28"/>
          <w:szCs w:val="28"/>
          <w:lang w:val="uk-UA"/>
        </w:rPr>
        <w:t xml:space="preserve">До місцевих загальних судів регіону з найкращими показниками за кількістю скасованих постанов належать, зокрема, суди першої інстанції, у яких не скасовано жодної постанови, - Козівський, Підгаєцький районні суди Тернопільської області; а також суди першої інстанції, в яких найнижчий відсоток скасованих постанов по відношенню до переглянутих, - Сихівський районний суд міста Львова (скасовано 10 постанов з 48 переглянутих або </w:t>
      </w:r>
      <w:r w:rsidRPr="00932F66">
        <w:rPr>
          <w:b/>
          <w:sz w:val="28"/>
          <w:szCs w:val="28"/>
          <w:lang w:val="uk-UA"/>
        </w:rPr>
        <w:t>20,8</w:t>
      </w:r>
      <w:r w:rsidRPr="00932F66">
        <w:rPr>
          <w:sz w:val="28"/>
          <w:szCs w:val="28"/>
          <w:lang w:val="uk-UA"/>
        </w:rPr>
        <w:t xml:space="preserve">%);  Чортківский районний суд Тернопільської області (скасовано 4 постанов з 18 переглянутих або </w:t>
      </w:r>
      <w:r w:rsidRPr="00932F66">
        <w:rPr>
          <w:b/>
          <w:sz w:val="28"/>
          <w:szCs w:val="28"/>
          <w:lang w:val="uk-UA"/>
        </w:rPr>
        <w:t>22,2</w:t>
      </w:r>
      <w:r w:rsidRPr="00932F66">
        <w:rPr>
          <w:sz w:val="28"/>
          <w:szCs w:val="28"/>
          <w:lang w:val="uk-UA"/>
        </w:rPr>
        <w:t>%); Пустомиті</w:t>
      </w:r>
      <w:r w:rsidR="003E6DBA">
        <w:rPr>
          <w:sz w:val="28"/>
          <w:szCs w:val="28"/>
          <w:lang w:val="uk-UA"/>
        </w:rPr>
        <w:t>в</w:t>
      </w:r>
      <w:r w:rsidRPr="00932F66">
        <w:rPr>
          <w:sz w:val="28"/>
          <w:szCs w:val="28"/>
          <w:lang w:val="uk-UA"/>
        </w:rPr>
        <w:t xml:space="preserve">ський районний суд Львівської області (скасовано 5 постанови з 28 переглянутих або </w:t>
      </w:r>
      <w:r w:rsidRPr="00932F66">
        <w:rPr>
          <w:b/>
          <w:sz w:val="28"/>
          <w:szCs w:val="28"/>
          <w:lang w:val="uk-UA"/>
        </w:rPr>
        <w:t>17,8</w:t>
      </w:r>
      <w:r w:rsidRPr="00932F66">
        <w:rPr>
          <w:sz w:val="28"/>
          <w:szCs w:val="28"/>
          <w:lang w:val="uk-UA"/>
        </w:rPr>
        <w:t>%);</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lastRenderedPageBreak/>
        <w:t>Серед місцевих загальних судів регіону, у яких стан здійснення адміністративного судочинства характеризується найбільш високим рівнем скасованих апеляційним судом постанов, а отже є найбільш близьким до незадовільного, можна виділити:</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 Снятинський районний суд Івано-Франківської області </w:t>
      </w:r>
      <w:r w:rsidRPr="00932F66">
        <w:rPr>
          <w:rFonts w:ascii="Times New Roman" w:hAnsi="Times New Roman"/>
          <w:b/>
          <w:sz w:val="28"/>
          <w:szCs w:val="28"/>
        </w:rPr>
        <w:t>86,36</w:t>
      </w:r>
      <w:r w:rsidRPr="00932F66">
        <w:rPr>
          <w:rFonts w:ascii="Times New Roman" w:hAnsi="Times New Roman"/>
          <w:sz w:val="28"/>
          <w:szCs w:val="28"/>
        </w:rPr>
        <w:t xml:space="preserve">% або 19 постанов з 22; </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 Залізничний районний суд міста Львоваі </w:t>
      </w:r>
      <w:r w:rsidRPr="00932F66">
        <w:rPr>
          <w:rFonts w:ascii="Times New Roman" w:hAnsi="Times New Roman"/>
          <w:b/>
          <w:sz w:val="28"/>
          <w:szCs w:val="28"/>
        </w:rPr>
        <w:t>55,36</w:t>
      </w:r>
      <w:r w:rsidRPr="00932F66">
        <w:rPr>
          <w:rFonts w:ascii="Times New Roman" w:hAnsi="Times New Roman"/>
          <w:sz w:val="28"/>
          <w:szCs w:val="28"/>
        </w:rPr>
        <w:t>% або 21 постанова з 38;</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 Галицький районний суд Івано-Франківської області </w:t>
      </w:r>
      <w:r w:rsidRPr="00932F66">
        <w:rPr>
          <w:rFonts w:ascii="Times New Roman" w:hAnsi="Times New Roman"/>
          <w:b/>
          <w:sz w:val="28"/>
          <w:szCs w:val="28"/>
        </w:rPr>
        <w:t>71,4</w:t>
      </w:r>
      <w:r w:rsidRPr="00932F66">
        <w:rPr>
          <w:rFonts w:ascii="Times New Roman" w:hAnsi="Times New Roman"/>
          <w:sz w:val="28"/>
          <w:szCs w:val="28"/>
        </w:rPr>
        <w:t>% або 5 постанов з 7;</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Броді</w:t>
      </w:r>
      <w:r w:rsidR="003E6DBA">
        <w:rPr>
          <w:rFonts w:ascii="Times New Roman" w:hAnsi="Times New Roman"/>
          <w:sz w:val="28"/>
          <w:szCs w:val="28"/>
        </w:rPr>
        <w:t>в</w:t>
      </w:r>
      <w:r w:rsidRPr="00932F66">
        <w:rPr>
          <w:rFonts w:ascii="Times New Roman" w:hAnsi="Times New Roman"/>
          <w:sz w:val="28"/>
          <w:szCs w:val="28"/>
        </w:rPr>
        <w:t>ський район</w:t>
      </w:r>
      <w:r w:rsidR="00875949" w:rsidRPr="00932F66">
        <w:rPr>
          <w:rFonts w:ascii="Times New Roman" w:hAnsi="Times New Roman"/>
          <w:sz w:val="28"/>
          <w:szCs w:val="28"/>
        </w:rPr>
        <w:t xml:space="preserve">ний суд Львівської області </w:t>
      </w:r>
      <w:r w:rsidR="00875949" w:rsidRPr="00932F66">
        <w:rPr>
          <w:rFonts w:ascii="Times New Roman" w:hAnsi="Times New Roman"/>
          <w:b/>
          <w:sz w:val="28"/>
          <w:szCs w:val="28"/>
        </w:rPr>
        <w:t xml:space="preserve">71,4% </w:t>
      </w:r>
      <w:r w:rsidRPr="00932F66">
        <w:rPr>
          <w:rFonts w:ascii="Times New Roman" w:hAnsi="Times New Roman"/>
          <w:sz w:val="28"/>
          <w:szCs w:val="28"/>
        </w:rPr>
        <w:t>або 5 постанов з 7;</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 Мукачівський міськрайонний суд Закарпатської області </w:t>
      </w:r>
      <w:r w:rsidRPr="00932F66">
        <w:rPr>
          <w:rFonts w:ascii="Times New Roman" w:hAnsi="Times New Roman"/>
          <w:b/>
          <w:sz w:val="28"/>
          <w:szCs w:val="28"/>
        </w:rPr>
        <w:t>51%</w:t>
      </w:r>
      <w:r w:rsidRPr="00932F66">
        <w:rPr>
          <w:rFonts w:ascii="Times New Roman" w:hAnsi="Times New Roman"/>
          <w:sz w:val="28"/>
          <w:szCs w:val="28"/>
        </w:rPr>
        <w:t xml:space="preserve"> або 18 з 35 постанов;</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Із окружних адміністративних судів, які станом на початок звітного періоду перебувають в межах територіальної юрисдикції Львівського апеляційного адміністративного суду, у 2018 році скасовано найменшу частку постанов Волинського окружного адміністративного суду – </w:t>
      </w:r>
      <w:r w:rsidRPr="00932F66">
        <w:rPr>
          <w:rFonts w:ascii="Times New Roman" w:hAnsi="Times New Roman"/>
          <w:b/>
          <w:sz w:val="28"/>
          <w:szCs w:val="28"/>
        </w:rPr>
        <w:t>22,3</w:t>
      </w:r>
      <w:r w:rsidRPr="00932F66">
        <w:rPr>
          <w:rFonts w:ascii="Times New Roman" w:hAnsi="Times New Roman"/>
          <w:sz w:val="28"/>
          <w:szCs w:val="28"/>
        </w:rPr>
        <w:t xml:space="preserve">% (103 скасовані з 462 переглянутих). </w:t>
      </w:r>
    </w:p>
    <w:p w:rsidR="00B8528F" w:rsidRPr="00932F66" w:rsidRDefault="00B8528F" w:rsidP="00C90243">
      <w:pPr>
        <w:pStyle w:val="ae"/>
        <w:spacing w:line="276" w:lineRule="auto"/>
        <w:ind w:right="-143" w:firstLine="709"/>
        <w:jc w:val="both"/>
        <w:rPr>
          <w:rFonts w:ascii="Times New Roman" w:hAnsi="Times New Roman"/>
          <w:sz w:val="28"/>
          <w:szCs w:val="28"/>
        </w:rPr>
      </w:pPr>
      <w:r w:rsidRPr="00932F66">
        <w:rPr>
          <w:rFonts w:ascii="Times New Roman" w:hAnsi="Times New Roman"/>
          <w:sz w:val="28"/>
          <w:szCs w:val="28"/>
        </w:rPr>
        <w:t>Найбільший відсоток (</w:t>
      </w:r>
      <w:r w:rsidRPr="00932F66">
        <w:rPr>
          <w:rFonts w:ascii="Times New Roman" w:hAnsi="Times New Roman"/>
          <w:b/>
          <w:sz w:val="28"/>
          <w:szCs w:val="28"/>
        </w:rPr>
        <w:t>34,9</w:t>
      </w:r>
      <w:r w:rsidRPr="00932F66">
        <w:rPr>
          <w:rFonts w:ascii="Times New Roman" w:hAnsi="Times New Roman"/>
          <w:sz w:val="28"/>
          <w:szCs w:val="28"/>
        </w:rPr>
        <w:t xml:space="preserve">%) скасованих із переглянутих постанов Тернопільського окружного адміністративного суду (116 скасованих постанови з 332 переглянутих), Івано-Франківського окружного адміністративного суду – </w:t>
      </w:r>
      <w:r w:rsidRPr="00932F66">
        <w:rPr>
          <w:rFonts w:ascii="Times New Roman" w:hAnsi="Times New Roman"/>
          <w:b/>
          <w:sz w:val="28"/>
          <w:szCs w:val="28"/>
        </w:rPr>
        <w:t>31,2</w:t>
      </w:r>
      <w:r w:rsidRPr="00932F66">
        <w:rPr>
          <w:rFonts w:ascii="Times New Roman" w:hAnsi="Times New Roman"/>
          <w:sz w:val="28"/>
          <w:szCs w:val="28"/>
        </w:rPr>
        <w:t xml:space="preserve">% (скасовано 109 постанов  з 349 переглянутих). </w:t>
      </w:r>
    </w:p>
    <w:p w:rsidR="00B8528F" w:rsidRPr="00932F66" w:rsidRDefault="00B8528F" w:rsidP="00C90243">
      <w:pPr>
        <w:pStyle w:val="aa"/>
        <w:spacing w:line="276" w:lineRule="auto"/>
        <w:ind w:firstLine="709"/>
        <w:jc w:val="both"/>
        <w:rPr>
          <w:b w:val="0"/>
        </w:rPr>
      </w:pPr>
      <w:r w:rsidRPr="00932F66">
        <w:rPr>
          <w:b w:val="0"/>
        </w:rPr>
        <w:t xml:space="preserve">Відповідно до звіту форми 22-А упродовж 2018 року Львівським апеляційним адміністративним судом змінено </w:t>
      </w:r>
      <w:r w:rsidRPr="00932F66">
        <w:t>85</w:t>
      </w:r>
      <w:r w:rsidRPr="00932F66">
        <w:rPr>
          <w:b w:val="0"/>
        </w:rPr>
        <w:t xml:space="preserve"> постанов або </w:t>
      </w:r>
      <w:r w:rsidRPr="00932F66">
        <w:t>1,6</w:t>
      </w:r>
      <w:r w:rsidRPr="00932F66">
        <w:rPr>
          <w:b w:val="0"/>
        </w:rPr>
        <w:t>%  справ, у яких закінчено апеляційний розгляд (</w:t>
      </w:r>
      <w:r w:rsidRPr="00932F66">
        <w:t>5 174</w:t>
      </w:r>
      <w:r w:rsidRPr="00932F66">
        <w:rPr>
          <w:b w:val="0"/>
        </w:rPr>
        <w:t>).</w:t>
      </w:r>
    </w:p>
    <w:p w:rsidR="00B8528F" w:rsidRPr="00932F66" w:rsidRDefault="003E6DBA" w:rsidP="00C90243">
      <w:pPr>
        <w:pStyle w:val="aa"/>
        <w:spacing w:line="276" w:lineRule="auto"/>
        <w:ind w:firstLine="709"/>
        <w:jc w:val="both"/>
      </w:pPr>
      <w:r>
        <w:rPr>
          <w:b w:val="0"/>
        </w:rPr>
        <w:t>С</w:t>
      </w:r>
      <w:r w:rsidR="00B8528F" w:rsidRPr="00932F66">
        <w:rPr>
          <w:b w:val="0"/>
        </w:rPr>
        <w:t xml:space="preserve">піввідношення «переглянуті – змінені постанови» відображено в розрізі місцевих загальних судів першої інстанції областей Львівського апеляційного адміністративного округу, постанови яких переглянуті апеляційною інстанцією на </w:t>
      </w:r>
      <w:r w:rsidR="00B8528F" w:rsidRPr="00932F66">
        <w:t>гістограмі 6.</w:t>
      </w:r>
    </w:p>
    <w:p w:rsidR="00B8528F" w:rsidRPr="00932F66" w:rsidRDefault="00B8528F" w:rsidP="00C90243">
      <w:pPr>
        <w:pStyle w:val="aa"/>
        <w:spacing w:line="276" w:lineRule="auto"/>
        <w:ind w:firstLine="709"/>
        <w:jc w:val="both"/>
        <w:rPr>
          <w:b w:val="0"/>
        </w:rPr>
      </w:pPr>
      <w:r w:rsidRPr="00932F66">
        <w:rPr>
          <w:b w:val="0"/>
        </w:rPr>
        <w:t xml:space="preserve">Причиною зміни судом апеляційної інстанції </w:t>
      </w:r>
      <w:r w:rsidRPr="00932F66">
        <w:t>94,1</w:t>
      </w:r>
      <w:r w:rsidRPr="00932F66">
        <w:rPr>
          <w:b w:val="0"/>
        </w:rPr>
        <w:t xml:space="preserve">% постанов судів першої інстанції є помилкове застосування норм матеріального чи процесуального права відповідно до ч.1 п.4 ст.317 КАС України. </w:t>
      </w:r>
    </w:p>
    <w:p w:rsidR="00B8528F" w:rsidRPr="00932F66" w:rsidRDefault="00B8528F" w:rsidP="00C90243">
      <w:pPr>
        <w:pStyle w:val="aa"/>
        <w:spacing w:line="276" w:lineRule="auto"/>
        <w:ind w:firstLine="709"/>
        <w:jc w:val="both"/>
        <w:rPr>
          <w:b w:val="0"/>
        </w:rPr>
      </w:pPr>
      <w:r w:rsidRPr="00932F66">
        <w:rPr>
          <w:b w:val="0"/>
        </w:rPr>
        <w:t>Найчисленнішу категорію змінених постанов загальних місцевих судів складають справи зі спорів, пов’язаних з соціальними виплатами.</w:t>
      </w:r>
    </w:p>
    <w:p w:rsidR="000254CE" w:rsidRDefault="000254CE" w:rsidP="00C90243">
      <w:pPr>
        <w:pStyle w:val="ae"/>
        <w:spacing w:line="276" w:lineRule="auto"/>
        <w:ind w:firstLine="709"/>
        <w:jc w:val="center"/>
        <w:rPr>
          <w:rFonts w:ascii="Times New Roman" w:hAnsi="Times New Roman"/>
          <w:b/>
          <w:sz w:val="28"/>
          <w:szCs w:val="28"/>
        </w:rPr>
      </w:pPr>
    </w:p>
    <w:p w:rsidR="00B8528F" w:rsidRPr="00932F66" w:rsidRDefault="00B8528F" w:rsidP="00C90243">
      <w:pPr>
        <w:pStyle w:val="ae"/>
        <w:spacing w:line="276" w:lineRule="auto"/>
        <w:ind w:firstLine="709"/>
        <w:jc w:val="center"/>
        <w:rPr>
          <w:rFonts w:ascii="Times New Roman" w:hAnsi="Times New Roman"/>
          <w:b/>
          <w:sz w:val="28"/>
          <w:szCs w:val="28"/>
        </w:rPr>
      </w:pPr>
      <w:r w:rsidRPr="00932F66">
        <w:rPr>
          <w:rFonts w:ascii="Times New Roman" w:hAnsi="Times New Roman"/>
          <w:b/>
          <w:sz w:val="28"/>
          <w:szCs w:val="28"/>
        </w:rPr>
        <w:t>Кількість переглянутих та змінених постанов судів першої інстанції упродовж 2018 року</w:t>
      </w:r>
    </w:p>
    <w:p w:rsidR="00B8528F" w:rsidRPr="00932F66" w:rsidRDefault="00B8528F" w:rsidP="00C90243">
      <w:pPr>
        <w:pStyle w:val="ae"/>
        <w:spacing w:line="276" w:lineRule="auto"/>
        <w:ind w:firstLine="709"/>
        <w:jc w:val="center"/>
        <w:rPr>
          <w:rFonts w:ascii="Times New Roman" w:hAnsi="Times New Roman"/>
          <w:b/>
          <w:sz w:val="28"/>
          <w:szCs w:val="28"/>
        </w:rPr>
      </w:pPr>
      <w:r w:rsidRPr="00932F66">
        <w:rPr>
          <w:rFonts w:ascii="Times New Roman" w:hAnsi="Times New Roman"/>
          <w:b/>
          <w:sz w:val="28"/>
          <w:szCs w:val="28"/>
        </w:rPr>
        <w:t xml:space="preserve">                                                                                                    Гістограма </w:t>
      </w:r>
      <w:r w:rsidR="00662115" w:rsidRPr="00932F66">
        <w:rPr>
          <w:rFonts w:ascii="Times New Roman" w:hAnsi="Times New Roman"/>
          <w:b/>
          <w:sz w:val="28"/>
          <w:szCs w:val="28"/>
        </w:rPr>
        <w:t>2</w:t>
      </w:r>
    </w:p>
    <w:p w:rsidR="00B8528F" w:rsidRPr="00932F66" w:rsidRDefault="00B8528F" w:rsidP="00C90243">
      <w:pPr>
        <w:pStyle w:val="aa"/>
        <w:spacing w:line="276" w:lineRule="auto"/>
        <w:ind w:firstLine="709"/>
        <w:jc w:val="both"/>
      </w:pPr>
      <w:r w:rsidRPr="00932F66">
        <w:rPr>
          <w:b w:val="0"/>
          <w:noProof/>
          <w:lang w:val="ru-RU"/>
        </w:rPr>
        <w:lastRenderedPageBreak/>
        <w:drawing>
          <wp:inline distT="0" distB="0" distL="0" distR="0">
            <wp:extent cx="5615246" cy="2211572"/>
            <wp:effectExtent l="19050" t="0" r="23554" b="0"/>
            <wp:docPr id="4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528F" w:rsidRPr="00932F66" w:rsidRDefault="00B8528F" w:rsidP="00C90243">
      <w:pPr>
        <w:pStyle w:val="ae"/>
        <w:spacing w:line="276" w:lineRule="auto"/>
        <w:ind w:firstLine="709"/>
        <w:jc w:val="both"/>
        <w:rPr>
          <w:rFonts w:ascii="Times New Roman" w:hAnsi="Times New Roman"/>
          <w:sz w:val="28"/>
          <w:szCs w:val="28"/>
        </w:rPr>
      </w:pPr>
    </w:p>
    <w:p w:rsidR="00B8528F" w:rsidRPr="00932F66" w:rsidRDefault="00B8528F" w:rsidP="00C90243">
      <w:pPr>
        <w:pStyle w:val="ae"/>
        <w:spacing w:line="276" w:lineRule="auto"/>
        <w:ind w:firstLine="709"/>
        <w:jc w:val="both"/>
        <w:rPr>
          <w:rFonts w:ascii="Times New Roman" w:hAnsi="Times New Roman"/>
          <w:sz w:val="28"/>
          <w:szCs w:val="28"/>
        </w:rPr>
      </w:pP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Найбільший відсоток змінених постанов місцевих загальних судів по відношенню до переглянутих Львівським апеляційним адміністративним судом у 2018 року, що надійшли з Закарпатської (</w:t>
      </w:r>
      <w:r w:rsidRPr="00932F66">
        <w:rPr>
          <w:rFonts w:ascii="Times New Roman" w:hAnsi="Times New Roman"/>
          <w:b/>
          <w:sz w:val="28"/>
          <w:szCs w:val="28"/>
        </w:rPr>
        <w:t>2,7</w:t>
      </w:r>
      <w:r w:rsidRPr="00932F66">
        <w:rPr>
          <w:rFonts w:ascii="Times New Roman" w:hAnsi="Times New Roman"/>
          <w:sz w:val="28"/>
          <w:szCs w:val="28"/>
        </w:rPr>
        <w:t>%) та Івано-Франківської (</w:t>
      </w:r>
      <w:r w:rsidRPr="00932F66">
        <w:rPr>
          <w:rFonts w:ascii="Times New Roman" w:hAnsi="Times New Roman"/>
          <w:b/>
          <w:sz w:val="28"/>
          <w:szCs w:val="28"/>
        </w:rPr>
        <w:t>4,2</w:t>
      </w:r>
      <w:r w:rsidRPr="00932F66">
        <w:rPr>
          <w:rFonts w:ascii="Times New Roman" w:hAnsi="Times New Roman"/>
          <w:sz w:val="28"/>
          <w:szCs w:val="28"/>
        </w:rPr>
        <w:t>%) областей. Найменший відсоток змінених постанов місцевих загальних судів першої інстанції Тернопільської (</w:t>
      </w:r>
      <w:r w:rsidRPr="00932F66">
        <w:rPr>
          <w:rFonts w:ascii="Times New Roman" w:hAnsi="Times New Roman"/>
          <w:b/>
          <w:sz w:val="28"/>
          <w:szCs w:val="28"/>
        </w:rPr>
        <w:t>2,3</w:t>
      </w:r>
      <w:r w:rsidRPr="00932F66">
        <w:rPr>
          <w:rFonts w:ascii="Times New Roman" w:hAnsi="Times New Roman"/>
          <w:sz w:val="28"/>
          <w:szCs w:val="28"/>
        </w:rPr>
        <w:t>%), Волинської</w:t>
      </w:r>
      <w:r w:rsidRPr="00932F66">
        <w:rPr>
          <w:rFonts w:ascii="Times New Roman" w:hAnsi="Times New Roman"/>
          <w:b/>
          <w:sz w:val="28"/>
          <w:szCs w:val="28"/>
        </w:rPr>
        <w:t>(2,3%)</w:t>
      </w:r>
      <w:r w:rsidRPr="00932F66">
        <w:rPr>
          <w:rFonts w:ascii="Times New Roman" w:hAnsi="Times New Roman"/>
          <w:sz w:val="28"/>
          <w:szCs w:val="28"/>
        </w:rPr>
        <w:t xml:space="preserve"> та Львівської (по </w:t>
      </w:r>
      <w:r w:rsidRPr="00932F66">
        <w:rPr>
          <w:rFonts w:ascii="Times New Roman" w:hAnsi="Times New Roman"/>
          <w:b/>
          <w:sz w:val="28"/>
          <w:szCs w:val="28"/>
        </w:rPr>
        <w:t>2,4</w:t>
      </w:r>
      <w:r w:rsidRPr="00932F66">
        <w:rPr>
          <w:rFonts w:ascii="Times New Roman" w:hAnsi="Times New Roman"/>
          <w:sz w:val="28"/>
          <w:szCs w:val="28"/>
        </w:rPr>
        <w:t xml:space="preserve">%) областей. </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Серед місцевих загальних судів регіону, у яких стан здійснення адміністративного судочинства характеризується найбільш високим рівнем змінених апеляційним судом постанов, а отже свідчить про численні порушення норм ст. 201 КАС України, можна виділити:</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Галицький районний суд м. Львова;</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Луцький  міськрайонний суд Волинської області;</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Івано-Франківський міський суд Івано-Франківської області;</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Калуський міськрайонний суд Івано-Франківської області;</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☼Мукачівський міськрайонний суд Закарпатської області; </w:t>
      </w:r>
    </w:p>
    <w:p w:rsidR="00B8528F" w:rsidRPr="00932F66" w:rsidRDefault="00B8528F"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Тернопільський міськрайонний суд Тернопільської області.</w:t>
      </w:r>
    </w:p>
    <w:p w:rsidR="00B8528F" w:rsidRPr="00932F66" w:rsidRDefault="00B8528F" w:rsidP="00AE7027">
      <w:pPr>
        <w:pStyle w:val="ae"/>
        <w:spacing w:line="276" w:lineRule="auto"/>
        <w:jc w:val="both"/>
        <w:rPr>
          <w:rFonts w:ascii="Times New Roman" w:hAnsi="Times New Roman"/>
          <w:sz w:val="28"/>
          <w:szCs w:val="28"/>
        </w:rPr>
      </w:pPr>
    </w:p>
    <w:p w:rsidR="00B8528F" w:rsidRPr="00932F66" w:rsidRDefault="00B8528F" w:rsidP="00C90243">
      <w:pPr>
        <w:pStyle w:val="ae"/>
        <w:spacing w:line="276" w:lineRule="auto"/>
        <w:ind w:right="-143" w:firstLine="709"/>
        <w:jc w:val="both"/>
        <w:rPr>
          <w:rFonts w:ascii="Times New Roman" w:hAnsi="Times New Roman"/>
          <w:sz w:val="28"/>
          <w:szCs w:val="28"/>
        </w:rPr>
      </w:pPr>
      <w:r w:rsidRPr="00932F66">
        <w:rPr>
          <w:rFonts w:ascii="Times New Roman" w:hAnsi="Times New Roman"/>
          <w:sz w:val="28"/>
          <w:szCs w:val="28"/>
        </w:rPr>
        <w:t>Найбільший відсоток (</w:t>
      </w:r>
      <w:r w:rsidRPr="00932F66">
        <w:rPr>
          <w:rFonts w:ascii="Times New Roman" w:hAnsi="Times New Roman"/>
          <w:b/>
          <w:sz w:val="28"/>
          <w:szCs w:val="28"/>
        </w:rPr>
        <w:t>1,7</w:t>
      </w:r>
      <w:r w:rsidRPr="00932F66">
        <w:rPr>
          <w:rFonts w:ascii="Times New Roman" w:hAnsi="Times New Roman"/>
          <w:sz w:val="28"/>
          <w:szCs w:val="28"/>
        </w:rPr>
        <w:t xml:space="preserve">%) змінених із переглянутих постанов Волинського окружного адміністративного суду (8 змінених постанов з 462 переглянутих), Львівського та Тернопільського </w:t>
      </w:r>
      <w:r w:rsidRPr="00932F66">
        <w:rPr>
          <w:rFonts w:ascii="Times New Roman" w:hAnsi="Times New Roman"/>
          <w:b/>
          <w:sz w:val="28"/>
          <w:szCs w:val="28"/>
        </w:rPr>
        <w:t>– 1,5</w:t>
      </w:r>
      <w:r w:rsidRPr="00932F66">
        <w:rPr>
          <w:rFonts w:ascii="Times New Roman" w:hAnsi="Times New Roman"/>
          <w:sz w:val="28"/>
          <w:szCs w:val="28"/>
        </w:rPr>
        <w:t xml:space="preserve">% та </w:t>
      </w:r>
      <w:r w:rsidRPr="00932F66">
        <w:rPr>
          <w:rFonts w:ascii="Times New Roman" w:hAnsi="Times New Roman"/>
          <w:b/>
          <w:sz w:val="28"/>
          <w:szCs w:val="28"/>
        </w:rPr>
        <w:t>1,2%</w:t>
      </w:r>
      <w:r w:rsidRPr="00932F66">
        <w:rPr>
          <w:rFonts w:ascii="Times New Roman" w:hAnsi="Times New Roman"/>
          <w:sz w:val="28"/>
          <w:szCs w:val="28"/>
        </w:rPr>
        <w:t xml:space="preserve"> (14 змінених постанов з 953 переглянутих та 4 змінених постанови з 332 переглянутих відповідно).</w:t>
      </w:r>
    </w:p>
    <w:p w:rsidR="00B8528F" w:rsidRPr="00932F66" w:rsidRDefault="00B8528F" w:rsidP="00C90243">
      <w:pPr>
        <w:pStyle w:val="ae"/>
        <w:spacing w:line="276" w:lineRule="auto"/>
        <w:ind w:right="-143" w:firstLine="709"/>
        <w:jc w:val="both"/>
        <w:rPr>
          <w:rFonts w:ascii="Times New Roman" w:hAnsi="Times New Roman"/>
          <w:sz w:val="28"/>
          <w:szCs w:val="28"/>
        </w:rPr>
      </w:pPr>
      <w:r w:rsidRPr="00932F66">
        <w:rPr>
          <w:rFonts w:ascii="Times New Roman" w:hAnsi="Times New Roman"/>
          <w:sz w:val="28"/>
          <w:szCs w:val="28"/>
        </w:rPr>
        <w:t xml:space="preserve">Отже, за підсумками результатів перегляду (скасування та зміни) апеляційною інстанцією постанов окружних адміністративних судів у 2018 році найбільша питома вага скасованих та змінених постанов по відношенню до переглянутих Львівським апеляційним адміністративним судом у Тернопільського (34,9%), Івано-Франківського (31,8%) та Львівського (27,7%) </w:t>
      </w:r>
      <w:r w:rsidRPr="00932F66">
        <w:rPr>
          <w:rFonts w:ascii="Times New Roman" w:hAnsi="Times New Roman"/>
          <w:sz w:val="28"/>
          <w:szCs w:val="28"/>
        </w:rPr>
        <w:lastRenderedPageBreak/>
        <w:t>окружних адміністративних судів, найнижча – у Волинського (24%) та Закарпатського (27,4%) окружних адміністративних судів.</w:t>
      </w:r>
    </w:p>
    <w:p w:rsidR="00B8528F" w:rsidRPr="00932F66" w:rsidRDefault="00B8528F" w:rsidP="00C90243">
      <w:pPr>
        <w:spacing w:line="276" w:lineRule="auto"/>
        <w:jc w:val="both"/>
        <w:rPr>
          <w:sz w:val="28"/>
          <w:szCs w:val="28"/>
          <w:lang w:val="uk-UA"/>
        </w:rPr>
      </w:pPr>
      <w:r w:rsidRPr="00932F66">
        <w:rPr>
          <w:sz w:val="28"/>
          <w:szCs w:val="28"/>
          <w:lang w:val="uk-UA"/>
        </w:rPr>
        <w:t xml:space="preserve">       Найбільші частки переглянутих категорій адміністративних справ становлять справи зі спорів </w:t>
      </w:r>
      <w:r w:rsidRPr="00932F66">
        <w:rPr>
          <w:i/>
          <w:sz w:val="28"/>
          <w:szCs w:val="28"/>
          <w:lang w:val="uk-UA"/>
        </w:rPr>
        <w:t xml:space="preserve">з приводу реалізації публічної політики у сферах зайнятості населення та соціального захисту громадян </w:t>
      </w:r>
      <w:r w:rsidRPr="00932F66">
        <w:rPr>
          <w:sz w:val="28"/>
          <w:szCs w:val="28"/>
          <w:lang w:val="uk-UA"/>
        </w:rPr>
        <w:t xml:space="preserve">– </w:t>
      </w:r>
      <w:r w:rsidRPr="00932F66">
        <w:rPr>
          <w:b/>
          <w:sz w:val="28"/>
          <w:szCs w:val="28"/>
          <w:lang w:val="uk-UA"/>
        </w:rPr>
        <w:t>27,7</w:t>
      </w:r>
      <w:r w:rsidRPr="00932F66">
        <w:rPr>
          <w:sz w:val="28"/>
          <w:szCs w:val="28"/>
          <w:lang w:val="uk-UA"/>
        </w:rPr>
        <w:t>% або 1206 з 4 328 переглянутих,справи зі спорів</w:t>
      </w:r>
      <w:r w:rsidRPr="00932F66">
        <w:rPr>
          <w:i/>
          <w:sz w:val="28"/>
          <w:szCs w:val="28"/>
          <w:lang w:val="uk-UA"/>
        </w:rPr>
        <w:t xml:space="preserve"> з приводу адміністрування податків, зборів, платежів, а також контролю за дотриманням вимог податкового законодавства</w:t>
      </w:r>
      <w:r w:rsidRPr="00932F66">
        <w:rPr>
          <w:sz w:val="28"/>
          <w:szCs w:val="28"/>
          <w:lang w:val="uk-UA"/>
        </w:rPr>
        <w:t xml:space="preserve"> – </w:t>
      </w:r>
      <w:r w:rsidRPr="00932F66">
        <w:rPr>
          <w:b/>
          <w:sz w:val="28"/>
          <w:szCs w:val="28"/>
          <w:lang w:val="uk-UA"/>
        </w:rPr>
        <w:t>20,1</w:t>
      </w:r>
      <w:r w:rsidRPr="00932F66">
        <w:rPr>
          <w:sz w:val="28"/>
          <w:szCs w:val="28"/>
          <w:lang w:val="uk-UA"/>
        </w:rPr>
        <w:t>% або 869 з 4</w:t>
      </w:r>
      <w:r w:rsidR="003E6DBA">
        <w:rPr>
          <w:sz w:val="28"/>
          <w:szCs w:val="28"/>
          <w:lang w:val="uk-UA"/>
        </w:rPr>
        <w:t> </w:t>
      </w:r>
      <w:r w:rsidRPr="00932F66">
        <w:rPr>
          <w:sz w:val="28"/>
          <w:szCs w:val="28"/>
          <w:lang w:val="uk-UA"/>
        </w:rPr>
        <w:t>328переглянутих.</w:t>
      </w:r>
    </w:p>
    <w:p w:rsidR="000D5754" w:rsidRPr="00932F66" w:rsidRDefault="000D5754" w:rsidP="00C90243">
      <w:pPr>
        <w:pStyle w:val="ae"/>
        <w:ind w:firstLine="709"/>
        <w:jc w:val="center"/>
        <w:rPr>
          <w:rFonts w:ascii="Times New Roman" w:hAnsi="Times New Roman"/>
          <w:b/>
          <w:sz w:val="28"/>
          <w:szCs w:val="28"/>
        </w:rPr>
      </w:pPr>
    </w:p>
    <w:p w:rsidR="000D5754" w:rsidRPr="00932F66" w:rsidRDefault="000D5754" w:rsidP="00C90243">
      <w:pPr>
        <w:pStyle w:val="ae"/>
        <w:ind w:firstLine="709"/>
        <w:jc w:val="center"/>
        <w:rPr>
          <w:rFonts w:ascii="Times New Roman" w:hAnsi="Times New Roman"/>
          <w:b/>
          <w:sz w:val="28"/>
          <w:szCs w:val="28"/>
        </w:rPr>
      </w:pPr>
      <w:r w:rsidRPr="00932F66">
        <w:rPr>
          <w:rFonts w:ascii="Times New Roman" w:hAnsi="Times New Roman"/>
          <w:b/>
          <w:sz w:val="28"/>
          <w:szCs w:val="28"/>
        </w:rPr>
        <w:t>Структура переглянутих у 201</w:t>
      </w:r>
      <w:r w:rsidRPr="00932F66">
        <w:rPr>
          <w:rFonts w:ascii="Times New Roman" w:hAnsi="Times New Roman"/>
          <w:b/>
          <w:sz w:val="28"/>
          <w:szCs w:val="28"/>
          <w:lang w:val="ru-RU"/>
        </w:rPr>
        <w:t>8</w:t>
      </w:r>
      <w:r w:rsidRPr="00932F66">
        <w:rPr>
          <w:rFonts w:ascii="Times New Roman" w:hAnsi="Times New Roman"/>
          <w:b/>
          <w:sz w:val="28"/>
          <w:szCs w:val="28"/>
        </w:rPr>
        <w:t xml:space="preserve"> році справ </w:t>
      </w:r>
    </w:p>
    <w:p w:rsidR="000D5754" w:rsidRPr="00932F66" w:rsidRDefault="000D5754" w:rsidP="00C90243">
      <w:pPr>
        <w:pStyle w:val="ae"/>
        <w:ind w:firstLine="709"/>
        <w:jc w:val="center"/>
        <w:rPr>
          <w:rFonts w:ascii="Times New Roman" w:hAnsi="Times New Roman"/>
          <w:b/>
          <w:sz w:val="28"/>
          <w:szCs w:val="28"/>
        </w:rPr>
      </w:pPr>
      <w:r w:rsidRPr="00932F66">
        <w:rPr>
          <w:rFonts w:ascii="Times New Roman" w:hAnsi="Times New Roman"/>
          <w:b/>
          <w:sz w:val="28"/>
          <w:szCs w:val="28"/>
        </w:rPr>
        <w:t>на постанови судів першої інстанції за їх категоріями</w:t>
      </w:r>
    </w:p>
    <w:p w:rsidR="000D5754" w:rsidRPr="00932F66" w:rsidRDefault="000D5754" w:rsidP="00AE7027">
      <w:pPr>
        <w:pStyle w:val="ae"/>
        <w:rPr>
          <w:rFonts w:ascii="Times New Roman" w:hAnsi="Times New Roman"/>
          <w:b/>
          <w:sz w:val="28"/>
          <w:szCs w:val="28"/>
        </w:rPr>
      </w:pPr>
    </w:p>
    <w:p w:rsidR="000D5754" w:rsidRPr="00932F66" w:rsidRDefault="000D5754" w:rsidP="00C90243">
      <w:pPr>
        <w:pStyle w:val="ae"/>
        <w:ind w:firstLine="709"/>
        <w:jc w:val="center"/>
        <w:rPr>
          <w:rFonts w:ascii="Times New Roman" w:hAnsi="Times New Roman"/>
          <w:b/>
          <w:sz w:val="28"/>
          <w:szCs w:val="28"/>
        </w:rPr>
      </w:pPr>
    </w:p>
    <w:p w:rsidR="000D5754" w:rsidRPr="00932F66" w:rsidRDefault="00AE7027" w:rsidP="00C90243">
      <w:pPr>
        <w:pStyle w:val="ae"/>
        <w:ind w:firstLine="709"/>
        <w:jc w:val="both"/>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662336" behindDoc="0" locked="0" layoutInCell="1" allowOverlap="1">
            <wp:simplePos x="0" y="0"/>
            <wp:positionH relativeFrom="column">
              <wp:posOffset>-63500</wp:posOffset>
            </wp:positionH>
            <wp:positionV relativeFrom="paragraph">
              <wp:posOffset>146050</wp:posOffset>
            </wp:positionV>
            <wp:extent cx="6328410" cy="7602220"/>
            <wp:effectExtent l="19050" t="0" r="0" b="0"/>
            <wp:wrapNone/>
            <wp:docPr id="4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C90243">
      <w:pPr>
        <w:pStyle w:val="ae"/>
        <w:ind w:firstLine="709"/>
        <w:jc w:val="both"/>
        <w:rPr>
          <w:rFonts w:ascii="Times New Roman" w:hAnsi="Times New Roman"/>
          <w:sz w:val="28"/>
          <w:szCs w:val="28"/>
        </w:rPr>
      </w:pPr>
    </w:p>
    <w:p w:rsidR="000D5754" w:rsidRPr="00932F66" w:rsidRDefault="000D5754" w:rsidP="000254CE">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Найбільший відсоток скасованих по відношенню до переглянутих постанов судів першої інстанції у справах зі спорів:</w:t>
      </w:r>
    </w:p>
    <w:p w:rsidR="000D5754" w:rsidRPr="00932F66" w:rsidRDefault="000D5754" w:rsidP="000254CE">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з приводу забезпечення громадського порядку та безпеки, національної безпеки та оборони України (</w:t>
      </w:r>
      <w:r w:rsidRPr="00932F66">
        <w:rPr>
          <w:rFonts w:ascii="Times New Roman" w:hAnsi="Times New Roman"/>
          <w:b/>
          <w:sz w:val="28"/>
          <w:szCs w:val="28"/>
        </w:rPr>
        <w:t>38,8</w:t>
      </w:r>
      <w:r w:rsidRPr="00932F66">
        <w:rPr>
          <w:rFonts w:ascii="Times New Roman" w:hAnsi="Times New Roman"/>
          <w:sz w:val="28"/>
          <w:szCs w:val="28"/>
        </w:rPr>
        <w:t>%);</w:t>
      </w:r>
    </w:p>
    <w:p w:rsidR="000D5754" w:rsidRPr="00932F66" w:rsidRDefault="000D5754" w:rsidP="000254CE">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з приводу відносин публічної служби (35 %);</w:t>
      </w:r>
    </w:p>
    <w:p w:rsidR="000D5754" w:rsidRPr="00932F66" w:rsidRDefault="000D5754" w:rsidP="000254CE">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з приводу забезпечення сталого розвитку населених пунктів та землекористування (</w:t>
      </w:r>
      <w:r w:rsidRPr="00932F66">
        <w:rPr>
          <w:rFonts w:ascii="Times New Roman" w:hAnsi="Times New Roman"/>
          <w:b/>
          <w:sz w:val="28"/>
          <w:szCs w:val="28"/>
        </w:rPr>
        <w:t>33,8</w:t>
      </w:r>
      <w:r w:rsidRPr="00932F66">
        <w:rPr>
          <w:rFonts w:ascii="Times New Roman" w:hAnsi="Times New Roman"/>
          <w:sz w:val="28"/>
          <w:szCs w:val="28"/>
        </w:rPr>
        <w:t>%);</w:t>
      </w:r>
    </w:p>
    <w:p w:rsidR="000D5754" w:rsidRPr="00932F66" w:rsidRDefault="000D5754" w:rsidP="000254CE">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w:t>
      </w:r>
      <w:r w:rsidRPr="00932F66">
        <w:rPr>
          <w:rFonts w:ascii="Times New Roman" w:hAnsi="Times New Roman"/>
          <w:b/>
          <w:sz w:val="28"/>
          <w:szCs w:val="28"/>
        </w:rPr>
        <w:t>34,1</w:t>
      </w:r>
      <w:r w:rsidRPr="00932F66">
        <w:rPr>
          <w:rFonts w:ascii="Times New Roman" w:hAnsi="Times New Roman"/>
          <w:sz w:val="28"/>
          <w:szCs w:val="28"/>
        </w:rPr>
        <w:t>%);</w:t>
      </w:r>
    </w:p>
    <w:p w:rsidR="000D5754" w:rsidRPr="00932F66" w:rsidRDefault="000D5754" w:rsidP="000254CE">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з приводу забезпечення юстиції (</w:t>
      </w:r>
      <w:r w:rsidRPr="00932F66">
        <w:rPr>
          <w:rFonts w:ascii="Times New Roman" w:hAnsi="Times New Roman"/>
          <w:b/>
          <w:sz w:val="28"/>
          <w:szCs w:val="28"/>
        </w:rPr>
        <w:t>33,2</w:t>
      </w:r>
      <w:r w:rsidRPr="00932F66">
        <w:rPr>
          <w:rFonts w:ascii="Times New Roman" w:hAnsi="Times New Roman"/>
          <w:sz w:val="28"/>
          <w:szCs w:val="28"/>
        </w:rPr>
        <w:t>%).</w:t>
      </w:r>
    </w:p>
    <w:p w:rsidR="000D5754" w:rsidRPr="00932F66" w:rsidRDefault="000D5754" w:rsidP="00C90243">
      <w:pPr>
        <w:spacing w:line="276" w:lineRule="auto"/>
        <w:jc w:val="both"/>
        <w:rPr>
          <w:sz w:val="28"/>
          <w:szCs w:val="28"/>
          <w:lang w:val="uk-UA"/>
        </w:rPr>
      </w:pPr>
    </w:p>
    <w:p w:rsidR="00685259" w:rsidRPr="00932F66" w:rsidRDefault="00685259" w:rsidP="00EE79A1">
      <w:pPr>
        <w:pStyle w:val="aa"/>
        <w:numPr>
          <w:ilvl w:val="1"/>
          <w:numId w:val="2"/>
        </w:numPr>
        <w:spacing w:line="276" w:lineRule="auto"/>
      </w:pPr>
      <w:r w:rsidRPr="00932F66">
        <w:t>Апеляційний перегляд ухвал суду першої інстанції.</w:t>
      </w:r>
    </w:p>
    <w:p w:rsidR="00685259" w:rsidRPr="00932F66" w:rsidRDefault="00685259" w:rsidP="000254CE">
      <w:pPr>
        <w:pStyle w:val="aa"/>
        <w:spacing w:before="240" w:line="276" w:lineRule="auto"/>
        <w:ind w:firstLine="709"/>
        <w:jc w:val="both"/>
        <w:rPr>
          <w:b w:val="0"/>
        </w:rPr>
      </w:pPr>
      <w:r w:rsidRPr="00932F66">
        <w:rPr>
          <w:b w:val="0"/>
        </w:rPr>
        <w:t xml:space="preserve">Щодо справ за апеляційними скаргами на ухвали судів першої інстанції, то на розгляд у Львівський апеляційний адміністративний суд у звітному періоді надійшло </w:t>
      </w:r>
      <w:r w:rsidRPr="00932F66">
        <w:t>1202</w:t>
      </w:r>
      <w:r w:rsidRPr="00932F66">
        <w:rPr>
          <w:b w:val="0"/>
        </w:rPr>
        <w:t xml:space="preserve"> справи або </w:t>
      </w:r>
      <w:r w:rsidRPr="00932F66">
        <w:t>85,6</w:t>
      </w:r>
      <w:r w:rsidRPr="00932F66">
        <w:rPr>
          <w:b w:val="0"/>
        </w:rPr>
        <w:t xml:space="preserve">% від усіх – </w:t>
      </w:r>
      <w:r w:rsidRPr="00932F66">
        <w:t>1404</w:t>
      </w:r>
      <w:r w:rsidRPr="00932F66">
        <w:rPr>
          <w:b w:val="0"/>
        </w:rPr>
        <w:t xml:space="preserve"> справ з апеляційними скаргами на ухвали судів першої інстанції, що перебували на розгляді апеляційного суду у звітному періоді. </w:t>
      </w:r>
    </w:p>
    <w:p w:rsidR="00685259" w:rsidRPr="00932F66" w:rsidRDefault="00685259" w:rsidP="000254CE">
      <w:pPr>
        <w:pStyle w:val="aa"/>
        <w:spacing w:before="240" w:line="276" w:lineRule="auto"/>
        <w:ind w:firstLine="709"/>
        <w:jc w:val="both"/>
        <w:rPr>
          <w:b w:val="0"/>
        </w:rPr>
      </w:pPr>
      <w:r w:rsidRPr="00932F66">
        <w:rPr>
          <w:b w:val="0"/>
        </w:rPr>
        <w:t xml:space="preserve">У структурі </w:t>
      </w:r>
      <w:r w:rsidRPr="00932F66">
        <w:rPr>
          <w:b w:val="0"/>
          <w:i/>
        </w:rPr>
        <w:t>закінчених апеляційних проваджень</w:t>
      </w:r>
      <w:r w:rsidRPr="00932F66">
        <w:rPr>
          <w:b w:val="0"/>
        </w:rPr>
        <w:t xml:space="preserve"> апеляційним розглядом у звітному періоді ухвали складають 15,4%  або </w:t>
      </w:r>
      <w:r w:rsidRPr="00932F66">
        <w:t>797</w:t>
      </w:r>
      <w:r w:rsidRPr="00932F66">
        <w:rPr>
          <w:b w:val="0"/>
        </w:rPr>
        <w:t xml:space="preserve"> справ із загальної кількості </w:t>
      </w:r>
      <w:r w:rsidRPr="00932F66">
        <w:t>5174</w:t>
      </w:r>
      <w:r w:rsidRPr="00932F66">
        <w:rPr>
          <w:b w:val="0"/>
        </w:rPr>
        <w:t xml:space="preserve"> справ, у яких переглянуто рішення судів першої інстанції, (решта – </w:t>
      </w:r>
      <w:r w:rsidRPr="00932F66">
        <w:t>4377</w:t>
      </w:r>
      <w:r w:rsidRPr="00932F66">
        <w:rPr>
          <w:b w:val="0"/>
        </w:rPr>
        <w:t xml:space="preserve"> або 84,5% - на постанови судів першої інстанції). </w:t>
      </w:r>
    </w:p>
    <w:p w:rsidR="00685259" w:rsidRPr="00932F66" w:rsidRDefault="00685259" w:rsidP="000254CE">
      <w:pPr>
        <w:pStyle w:val="aa"/>
        <w:spacing w:before="240" w:line="276" w:lineRule="auto"/>
        <w:ind w:firstLine="709"/>
        <w:jc w:val="both"/>
        <w:rPr>
          <w:b w:val="0"/>
        </w:rPr>
      </w:pPr>
      <w:r w:rsidRPr="00932F66">
        <w:rPr>
          <w:b w:val="0"/>
        </w:rPr>
        <w:t xml:space="preserve">У тому числі задоволено повністю або частково (скасовано або змінено) у </w:t>
      </w:r>
      <w:r w:rsidRPr="00932F66">
        <w:t>370</w:t>
      </w:r>
      <w:r w:rsidRPr="00932F66">
        <w:rPr>
          <w:b w:val="0"/>
        </w:rPr>
        <w:t xml:space="preserve"> справах або 46,4% справ; закрито апеляційне провадження по </w:t>
      </w:r>
      <w:r w:rsidRPr="00932F66">
        <w:t>16</w:t>
      </w:r>
      <w:r w:rsidRPr="00932F66">
        <w:rPr>
          <w:b w:val="0"/>
        </w:rPr>
        <w:t xml:space="preserve"> (2%) апеляційних скаргах, з них у зв’язку з прийняттям відмови від скарги -</w:t>
      </w:r>
      <w:r w:rsidRPr="00932F66">
        <w:t xml:space="preserve">5 </w:t>
      </w:r>
      <w:r w:rsidRPr="00932F66">
        <w:rPr>
          <w:b w:val="0"/>
        </w:rPr>
        <w:t xml:space="preserve">(0,62%), із порушенням строків, передбачених КАС України – </w:t>
      </w:r>
      <w:r w:rsidRPr="00932F66">
        <w:t>282</w:t>
      </w:r>
      <w:r w:rsidRPr="00932F66">
        <w:rPr>
          <w:b w:val="0"/>
        </w:rPr>
        <w:t xml:space="preserve"> (35,38%).</w:t>
      </w:r>
    </w:p>
    <w:p w:rsidR="00685259" w:rsidRPr="00932F66" w:rsidRDefault="00685259" w:rsidP="000254CE">
      <w:pPr>
        <w:spacing w:before="240" w:line="276" w:lineRule="auto"/>
        <w:ind w:firstLine="709"/>
        <w:jc w:val="both"/>
        <w:rPr>
          <w:sz w:val="28"/>
          <w:szCs w:val="28"/>
          <w:lang w:val="uk-UA"/>
        </w:rPr>
      </w:pPr>
      <w:r w:rsidRPr="00932F66">
        <w:rPr>
          <w:sz w:val="28"/>
          <w:szCs w:val="28"/>
          <w:lang w:val="uk-UA"/>
        </w:rPr>
        <w:t xml:space="preserve">Нерозглянутими на кінець звітного періоду залишилось </w:t>
      </w:r>
      <w:r w:rsidRPr="00932F66">
        <w:rPr>
          <w:b/>
          <w:sz w:val="28"/>
          <w:szCs w:val="28"/>
          <w:lang w:val="uk-UA"/>
        </w:rPr>
        <w:t>162</w:t>
      </w:r>
      <w:r w:rsidRPr="00932F66">
        <w:rPr>
          <w:sz w:val="28"/>
          <w:szCs w:val="28"/>
          <w:lang w:val="uk-UA"/>
        </w:rPr>
        <w:t xml:space="preserve"> апеляційних скарги, тобто 11,5% загальної кількості апеляційних скарг, що перебували на розгляді у звітному періоді.</w:t>
      </w:r>
    </w:p>
    <w:p w:rsidR="00685259" w:rsidRPr="00932F66" w:rsidRDefault="00685259" w:rsidP="000254CE">
      <w:pPr>
        <w:spacing w:before="240" w:line="276" w:lineRule="auto"/>
        <w:ind w:firstLine="709"/>
        <w:jc w:val="both"/>
        <w:rPr>
          <w:sz w:val="28"/>
          <w:szCs w:val="28"/>
          <w:lang w:val="uk-UA"/>
        </w:rPr>
      </w:pPr>
      <w:r w:rsidRPr="00932F66">
        <w:rPr>
          <w:sz w:val="28"/>
          <w:szCs w:val="28"/>
          <w:lang w:val="uk-UA"/>
        </w:rPr>
        <w:t xml:space="preserve">У структурі закінчених, у звітному періоді, </w:t>
      </w:r>
      <w:r w:rsidRPr="00932F66">
        <w:rPr>
          <w:b/>
          <w:sz w:val="28"/>
          <w:szCs w:val="28"/>
          <w:lang w:val="uk-UA"/>
        </w:rPr>
        <w:t>5174</w:t>
      </w:r>
      <w:r w:rsidRPr="00932F66">
        <w:rPr>
          <w:sz w:val="28"/>
          <w:szCs w:val="28"/>
          <w:lang w:val="uk-UA"/>
        </w:rPr>
        <w:t xml:space="preserve"> апеляційних проваджень загальна кількість </w:t>
      </w:r>
      <w:r w:rsidRPr="00932F66">
        <w:rPr>
          <w:i/>
          <w:sz w:val="28"/>
          <w:szCs w:val="28"/>
          <w:lang w:val="uk-UA"/>
        </w:rPr>
        <w:t>переглянутих ухвал</w:t>
      </w:r>
      <w:r w:rsidRPr="00932F66">
        <w:rPr>
          <w:sz w:val="28"/>
          <w:szCs w:val="28"/>
          <w:lang w:val="uk-UA"/>
        </w:rPr>
        <w:t xml:space="preserve"> судів першої інстанції становила </w:t>
      </w:r>
      <w:r w:rsidRPr="00932F66">
        <w:rPr>
          <w:b/>
          <w:sz w:val="28"/>
          <w:szCs w:val="28"/>
          <w:lang w:val="uk-UA"/>
        </w:rPr>
        <w:t>779</w:t>
      </w:r>
      <w:r w:rsidRPr="00932F66">
        <w:rPr>
          <w:sz w:val="28"/>
          <w:szCs w:val="28"/>
          <w:lang w:val="uk-UA"/>
        </w:rPr>
        <w:t xml:space="preserve">, з них без змін залишено </w:t>
      </w:r>
      <w:r w:rsidRPr="00932F66">
        <w:rPr>
          <w:b/>
          <w:sz w:val="28"/>
          <w:szCs w:val="28"/>
          <w:lang w:val="uk-UA"/>
        </w:rPr>
        <w:t>409 (52,5%)</w:t>
      </w:r>
      <w:r w:rsidRPr="00932F66">
        <w:rPr>
          <w:sz w:val="28"/>
          <w:szCs w:val="28"/>
          <w:lang w:val="uk-UA"/>
        </w:rPr>
        <w:t xml:space="preserve"> ухвал, змінено </w:t>
      </w:r>
      <w:r w:rsidRPr="00932F66">
        <w:rPr>
          <w:b/>
          <w:sz w:val="28"/>
          <w:szCs w:val="28"/>
          <w:lang w:val="uk-UA"/>
        </w:rPr>
        <w:t xml:space="preserve">4 (0,51%) </w:t>
      </w:r>
      <w:r w:rsidRPr="00932F66">
        <w:rPr>
          <w:sz w:val="28"/>
          <w:szCs w:val="28"/>
          <w:lang w:val="uk-UA"/>
        </w:rPr>
        <w:t xml:space="preserve">ухвали та скасовано </w:t>
      </w:r>
      <w:r w:rsidRPr="00932F66">
        <w:rPr>
          <w:b/>
          <w:sz w:val="28"/>
          <w:szCs w:val="28"/>
          <w:lang w:val="uk-UA"/>
        </w:rPr>
        <w:t xml:space="preserve">364 ( 46,7 %) </w:t>
      </w:r>
      <w:r w:rsidRPr="00932F66">
        <w:rPr>
          <w:sz w:val="28"/>
          <w:szCs w:val="28"/>
          <w:lang w:val="uk-UA"/>
        </w:rPr>
        <w:t xml:space="preserve">ухвали. </w:t>
      </w:r>
    </w:p>
    <w:p w:rsidR="00685259" w:rsidRPr="00932F66" w:rsidRDefault="00685259" w:rsidP="000254CE">
      <w:pPr>
        <w:pStyle w:val="aa"/>
        <w:spacing w:before="240" w:line="276" w:lineRule="auto"/>
        <w:ind w:firstLine="709"/>
        <w:jc w:val="both"/>
        <w:rPr>
          <w:b w:val="0"/>
        </w:rPr>
      </w:pPr>
      <w:r w:rsidRPr="00932F66">
        <w:rPr>
          <w:b w:val="0"/>
        </w:rPr>
        <w:lastRenderedPageBreak/>
        <w:t xml:space="preserve">Із загальної кількості скасованих апеляційним судом ухвал суду першої інстанції - </w:t>
      </w:r>
      <w:r w:rsidRPr="00932F66">
        <w:t>364</w:t>
      </w:r>
      <w:r w:rsidRPr="00932F66">
        <w:rPr>
          <w:b w:val="0"/>
        </w:rPr>
        <w:t xml:space="preserve"> результати перегляду виглядають наступним чином:</w:t>
      </w:r>
    </w:p>
    <w:p w:rsidR="00685259" w:rsidRPr="00932F66" w:rsidRDefault="00685259" w:rsidP="000254CE">
      <w:pPr>
        <w:pStyle w:val="aa"/>
        <w:spacing w:before="240" w:line="276" w:lineRule="auto"/>
        <w:ind w:firstLine="709"/>
        <w:jc w:val="both"/>
        <w:rPr>
          <w:b w:val="0"/>
        </w:rPr>
      </w:pPr>
      <w:r w:rsidRPr="00932F66">
        <w:rPr>
          <w:b w:val="0"/>
        </w:rPr>
        <w:t xml:space="preserve">√ з постановленням нової ухвали з направленням справи до суду першої інстанції для продовження розгляду справи (у разі скасування ухвали, яка перешкоджає подальшому провадженню у справі) – у звітному періоді – </w:t>
      </w:r>
      <w:r w:rsidRPr="00932F66">
        <w:t>280</w:t>
      </w:r>
      <w:r w:rsidRPr="00932F66">
        <w:rPr>
          <w:b w:val="0"/>
        </w:rPr>
        <w:t xml:space="preserve"> ухвал або 76,9% усіх скасованих ухвал.</w:t>
      </w:r>
    </w:p>
    <w:p w:rsidR="00685259" w:rsidRPr="00932F66" w:rsidRDefault="00685259" w:rsidP="000254CE">
      <w:pPr>
        <w:pStyle w:val="aa"/>
        <w:spacing w:before="240" w:line="276" w:lineRule="auto"/>
        <w:ind w:firstLine="709"/>
        <w:jc w:val="both"/>
        <w:rPr>
          <w:b w:val="0"/>
        </w:rPr>
      </w:pPr>
      <w:r w:rsidRPr="00932F66">
        <w:rPr>
          <w:b w:val="0"/>
        </w:rPr>
        <w:t>√ з постановленням нової ухвали -–</w:t>
      </w:r>
      <w:r w:rsidRPr="00932F66">
        <w:t xml:space="preserve"> 83 </w:t>
      </w:r>
      <w:r w:rsidRPr="00932F66">
        <w:rPr>
          <w:b w:val="0"/>
        </w:rPr>
        <w:t xml:space="preserve">або22,8% усіх скасованих ухвал. </w:t>
      </w:r>
      <w:r w:rsidRPr="00932F66">
        <w:rPr>
          <w:b w:val="0"/>
        </w:rPr>
        <w:tab/>
        <w:t xml:space="preserve">√ із закриттям провадження у справі – </w:t>
      </w:r>
      <w:r w:rsidRPr="00932F66">
        <w:t>1</w:t>
      </w:r>
      <w:r w:rsidRPr="00932F66">
        <w:rPr>
          <w:b w:val="0"/>
        </w:rPr>
        <w:t xml:space="preserve"> або 0,27% від усіх скасованих ухвал.</w:t>
      </w:r>
    </w:p>
    <w:p w:rsidR="00685259" w:rsidRPr="00932F66" w:rsidRDefault="00685259" w:rsidP="000254CE">
      <w:pPr>
        <w:pStyle w:val="aa"/>
        <w:spacing w:before="240" w:line="276" w:lineRule="auto"/>
        <w:ind w:firstLine="709"/>
        <w:jc w:val="both"/>
        <w:rPr>
          <w:b w:val="0"/>
        </w:rPr>
      </w:pPr>
      <w:r w:rsidRPr="00932F66">
        <w:rPr>
          <w:b w:val="0"/>
        </w:rPr>
        <w:t xml:space="preserve">√ із залишенням позовної заяви без розгляду – </w:t>
      </w:r>
      <w:r w:rsidRPr="00932F66">
        <w:t>0</w:t>
      </w:r>
      <w:r w:rsidRPr="00932F66">
        <w:rPr>
          <w:b w:val="0"/>
        </w:rPr>
        <w:t>.</w:t>
      </w:r>
    </w:p>
    <w:p w:rsidR="00685259" w:rsidRPr="00932F66" w:rsidRDefault="00685259" w:rsidP="000254CE">
      <w:pPr>
        <w:pStyle w:val="aa"/>
        <w:spacing w:before="240" w:line="276" w:lineRule="auto"/>
        <w:ind w:firstLine="709"/>
        <w:jc w:val="both"/>
        <w:rPr>
          <w:b w:val="0"/>
        </w:rPr>
      </w:pPr>
      <w:r w:rsidRPr="00932F66">
        <w:rPr>
          <w:b w:val="0"/>
        </w:rPr>
        <w:t xml:space="preserve">Апеляційні скарги були подані на: ухвали про повернення позовної заяви – </w:t>
      </w:r>
      <w:r w:rsidRPr="00932F66">
        <w:t>108</w:t>
      </w:r>
      <w:r w:rsidRPr="00932F66">
        <w:rPr>
          <w:b w:val="0"/>
        </w:rPr>
        <w:t xml:space="preserve"> (13,8%); ухвали про відмову у відкритті провадження у справі – </w:t>
      </w:r>
      <w:r w:rsidRPr="00932F66">
        <w:t>59</w:t>
      </w:r>
      <w:r w:rsidRPr="00932F66">
        <w:rPr>
          <w:b w:val="0"/>
        </w:rPr>
        <w:t xml:space="preserve"> (7,57%); ухвали про закриття провадження у справі - </w:t>
      </w:r>
      <w:r w:rsidRPr="00932F66">
        <w:t>77</w:t>
      </w:r>
      <w:r w:rsidRPr="00932F66">
        <w:rPr>
          <w:b w:val="0"/>
        </w:rPr>
        <w:t xml:space="preserve">(9,88%); ухвали про залишення заяви без розгляду – </w:t>
      </w:r>
      <w:r w:rsidRPr="00932F66">
        <w:t>204</w:t>
      </w:r>
      <w:r w:rsidRPr="00932F66">
        <w:rPr>
          <w:b w:val="0"/>
        </w:rPr>
        <w:t xml:space="preserve"> (26,18%); інші – </w:t>
      </w:r>
      <w:r w:rsidRPr="00932F66">
        <w:t>331</w:t>
      </w:r>
      <w:r w:rsidRPr="00932F66">
        <w:rPr>
          <w:b w:val="0"/>
        </w:rPr>
        <w:t xml:space="preserve"> (42,49%). Діаграма 4.</w:t>
      </w:r>
    </w:p>
    <w:p w:rsidR="000254CE" w:rsidRDefault="000254CE" w:rsidP="00C90243">
      <w:pPr>
        <w:pStyle w:val="aa"/>
        <w:spacing w:line="276" w:lineRule="auto"/>
        <w:ind w:firstLine="709"/>
        <w:jc w:val="right"/>
      </w:pPr>
    </w:p>
    <w:p w:rsidR="00685259" w:rsidRPr="00932F66" w:rsidRDefault="00685259" w:rsidP="00C90243">
      <w:pPr>
        <w:pStyle w:val="aa"/>
        <w:spacing w:line="276" w:lineRule="auto"/>
        <w:ind w:firstLine="709"/>
        <w:jc w:val="right"/>
      </w:pPr>
      <w:r w:rsidRPr="00932F66">
        <w:t>Діаграма 4</w:t>
      </w:r>
    </w:p>
    <w:p w:rsidR="00685259" w:rsidRPr="00932F66" w:rsidRDefault="00685259" w:rsidP="00C90243">
      <w:pPr>
        <w:pStyle w:val="aa"/>
        <w:spacing w:line="276" w:lineRule="auto"/>
        <w:ind w:firstLine="709"/>
      </w:pPr>
      <w:r w:rsidRPr="00932F66">
        <w:t xml:space="preserve">Структура розглянутих </w:t>
      </w:r>
    </w:p>
    <w:p w:rsidR="00685259" w:rsidRPr="00932F66" w:rsidRDefault="00685259" w:rsidP="00C90243">
      <w:pPr>
        <w:pStyle w:val="aa"/>
        <w:spacing w:line="276" w:lineRule="auto"/>
        <w:ind w:firstLine="709"/>
      </w:pPr>
      <w:r w:rsidRPr="00932F66">
        <w:t xml:space="preserve">Львівським апеляційним адміністративним судом </w:t>
      </w:r>
    </w:p>
    <w:p w:rsidR="00685259" w:rsidRPr="00932F66" w:rsidRDefault="00685259" w:rsidP="00C90243">
      <w:pPr>
        <w:pStyle w:val="aa"/>
        <w:spacing w:line="276" w:lineRule="auto"/>
        <w:ind w:firstLine="709"/>
      </w:pPr>
      <w:r w:rsidRPr="00932F66">
        <w:t xml:space="preserve">справ за апеляційними скаргами на ухвали (за їх різновидами) судів </w:t>
      </w:r>
    </w:p>
    <w:p w:rsidR="00685259" w:rsidRPr="00932F66" w:rsidRDefault="00685259" w:rsidP="00C90243">
      <w:pPr>
        <w:pStyle w:val="ae"/>
        <w:spacing w:line="276" w:lineRule="auto"/>
        <w:ind w:firstLine="709"/>
        <w:jc w:val="center"/>
        <w:rPr>
          <w:rFonts w:ascii="Times New Roman" w:hAnsi="Times New Roman"/>
          <w:b/>
          <w:sz w:val="28"/>
          <w:szCs w:val="28"/>
        </w:rPr>
      </w:pPr>
    </w:p>
    <w:p w:rsidR="00685259" w:rsidRPr="00932F66" w:rsidRDefault="00685259" w:rsidP="00C90243">
      <w:pPr>
        <w:pStyle w:val="ae"/>
        <w:spacing w:line="276" w:lineRule="auto"/>
        <w:ind w:firstLine="709"/>
        <w:rPr>
          <w:rFonts w:ascii="Times New Roman" w:hAnsi="Times New Roman"/>
          <w:b/>
          <w:sz w:val="28"/>
          <w:szCs w:val="28"/>
        </w:rPr>
      </w:pPr>
      <w:r w:rsidRPr="00932F66">
        <w:rPr>
          <w:rFonts w:ascii="Times New Roman" w:hAnsi="Times New Roman"/>
          <w:b/>
          <w:noProof/>
          <w:sz w:val="28"/>
          <w:szCs w:val="28"/>
          <w:lang w:val="ru-RU" w:eastAsia="ru-RU"/>
        </w:rPr>
        <w:drawing>
          <wp:inline distT="0" distB="0" distL="0" distR="0">
            <wp:extent cx="6116247" cy="3423684"/>
            <wp:effectExtent l="19050" t="0" r="17853" b="5316"/>
            <wp:docPr id="30"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54CE" w:rsidRDefault="000254CE" w:rsidP="000254CE">
      <w:pPr>
        <w:pStyle w:val="aa"/>
        <w:spacing w:line="276" w:lineRule="auto"/>
        <w:ind w:firstLine="709"/>
        <w:rPr>
          <w:b w:val="0"/>
        </w:rPr>
      </w:pPr>
    </w:p>
    <w:p w:rsidR="000254CE" w:rsidRDefault="000254CE" w:rsidP="000254CE">
      <w:pPr>
        <w:pStyle w:val="aa"/>
        <w:spacing w:line="276" w:lineRule="auto"/>
        <w:jc w:val="left"/>
        <w:rPr>
          <w:b w:val="0"/>
        </w:rPr>
      </w:pPr>
    </w:p>
    <w:p w:rsidR="00685259" w:rsidRPr="00932F66" w:rsidRDefault="00685259" w:rsidP="00C90243">
      <w:pPr>
        <w:pStyle w:val="aa"/>
        <w:spacing w:line="276" w:lineRule="auto"/>
        <w:ind w:firstLine="709"/>
        <w:jc w:val="right"/>
        <w:rPr>
          <w:b w:val="0"/>
        </w:rPr>
      </w:pPr>
      <w:r w:rsidRPr="00932F66">
        <w:rPr>
          <w:b w:val="0"/>
        </w:rPr>
        <w:lastRenderedPageBreak/>
        <w:t xml:space="preserve">Гістограма </w:t>
      </w:r>
      <w:r w:rsidR="000254CE">
        <w:rPr>
          <w:b w:val="0"/>
        </w:rPr>
        <w:t>3</w:t>
      </w:r>
    </w:p>
    <w:p w:rsidR="00685259" w:rsidRPr="00932F66" w:rsidRDefault="00685259" w:rsidP="00C90243">
      <w:pPr>
        <w:pStyle w:val="aa"/>
        <w:spacing w:line="276" w:lineRule="auto"/>
        <w:ind w:firstLine="709"/>
        <w:rPr>
          <w:sz w:val="24"/>
          <w:szCs w:val="24"/>
        </w:rPr>
      </w:pPr>
      <w:r w:rsidRPr="00932F66">
        <w:rPr>
          <w:sz w:val="24"/>
          <w:szCs w:val="24"/>
        </w:rPr>
        <w:t>Співвідношення скасованих ухвал судів першої інстанції до переглянутих за видами</w:t>
      </w:r>
    </w:p>
    <w:p w:rsidR="00685259" w:rsidRPr="00932F66" w:rsidRDefault="00685259" w:rsidP="000254CE">
      <w:pPr>
        <w:pStyle w:val="aa"/>
        <w:tabs>
          <w:tab w:val="left" w:pos="1640"/>
        </w:tabs>
        <w:spacing w:line="276" w:lineRule="auto"/>
        <w:ind w:firstLine="709"/>
        <w:jc w:val="left"/>
        <w:rPr>
          <w:b w:val="0"/>
        </w:rPr>
      </w:pPr>
      <w:r w:rsidRPr="00932F66">
        <w:tab/>
      </w:r>
    </w:p>
    <w:p w:rsidR="00685259" w:rsidRPr="00932F66" w:rsidRDefault="00685259" w:rsidP="00C90243">
      <w:pPr>
        <w:pStyle w:val="aa"/>
        <w:spacing w:line="276" w:lineRule="auto"/>
        <w:ind w:firstLine="709"/>
        <w:jc w:val="both"/>
        <w:rPr>
          <w:b w:val="0"/>
        </w:rPr>
      </w:pPr>
      <w:r w:rsidRPr="00932F66">
        <w:rPr>
          <w:noProof/>
          <w:lang w:val="ru-RU"/>
        </w:rPr>
        <w:drawing>
          <wp:inline distT="0" distB="0" distL="0" distR="0">
            <wp:extent cx="5479091" cy="2732567"/>
            <wp:effectExtent l="19050" t="0" r="26359" b="0"/>
            <wp:docPr id="32"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5259" w:rsidRPr="00932F66" w:rsidRDefault="00685259" w:rsidP="00C90243">
      <w:pPr>
        <w:pStyle w:val="aa"/>
        <w:spacing w:line="276" w:lineRule="auto"/>
        <w:ind w:firstLine="709"/>
        <w:jc w:val="both"/>
        <w:rPr>
          <w:b w:val="0"/>
        </w:rPr>
      </w:pPr>
    </w:p>
    <w:p w:rsidR="00685259" w:rsidRPr="00932F66" w:rsidRDefault="00685259" w:rsidP="00C90243">
      <w:pPr>
        <w:pStyle w:val="aa"/>
        <w:spacing w:line="276" w:lineRule="auto"/>
        <w:ind w:firstLine="709"/>
        <w:jc w:val="both"/>
        <w:rPr>
          <w:b w:val="0"/>
        </w:rPr>
      </w:pPr>
      <w:r w:rsidRPr="00932F66">
        <w:rPr>
          <w:b w:val="0"/>
        </w:rPr>
        <w:t xml:space="preserve">Найбільша амплітуда співвідношення скасованих до переглянутих Львівським апеляційним адміністративним судом спостерігається щодо ухвал про повернення позовної заяви (75,9% скасованих до переглянутих ухвал даного різновиду) та щодо ухвал про залишення заяви без розгляду (58,3% скасованих до переглянутих ухвал даного різновиду).  </w:t>
      </w:r>
    </w:p>
    <w:p w:rsidR="00685259" w:rsidRPr="00932F66" w:rsidRDefault="00685259" w:rsidP="00C90243">
      <w:pPr>
        <w:shd w:val="clear" w:color="auto" w:fill="FFFFFF"/>
        <w:spacing w:line="276" w:lineRule="auto"/>
        <w:ind w:right="-1" w:firstLine="709"/>
        <w:jc w:val="both"/>
        <w:rPr>
          <w:sz w:val="28"/>
          <w:szCs w:val="28"/>
          <w:lang w:val="uk-UA"/>
        </w:rPr>
      </w:pPr>
    </w:p>
    <w:p w:rsidR="00685259" w:rsidRPr="00932F66" w:rsidRDefault="00685259" w:rsidP="00C90243">
      <w:pPr>
        <w:pStyle w:val="aa"/>
        <w:spacing w:line="276" w:lineRule="auto"/>
        <w:ind w:firstLine="709"/>
        <w:jc w:val="both"/>
      </w:pPr>
      <w:r w:rsidRPr="00932F66">
        <w:t>Найбільш</w:t>
      </w:r>
      <w:r w:rsidRPr="00932F66">
        <w:rPr>
          <w:b w:val="0"/>
        </w:rPr>
        <w:t xml:space="preserve"> суттєві показники, пов’язані з апеляційним переглядом ухвал місцевих загальних як адміністративних судів регіону у звітному періоді відображено в </w:t>
      </w:r>
      <w:r w:rsidRPr="00932F66">
        <w:t>таблиці 17.</w:t>
      </w:r>
    </w:p>
    <w:p w:rsidR="00685259" w:rsidRPr="00932F66" w:rsidRDefault="00685259" w:rsidP="00C90243">
      <w:pPr>
        <w:pStyle w:val="aa"/>
        <w:spacing w:line="276" w:lineRule="auto"/>
        <w:ind w:firstLine="709"/>
        <w:jc w:val="right"/>
      </w:pPr>
      <w:r w:rsidRPr="00932F66">
        <w:t>Таблиця 17</w:t>
      </w:r>
    </w:p>
    <w:p w:rsidR="00685259" w:rsidRPr="00932F66" w:rsidRDefault="00685259" w:rsidP="00C90243">
      <w:pPr>
        <w:pStyle w:val="aa"/>
        <w:spacing w:line="276" w:lineRule="auto"/>
        <w:ind w:firstLine="709"/>
        <w:jc w:val="right"/>
      </w:pPr>
    </w:p>
    <w:p w:rsidR="00685259" w:rsidRPr="00932F66" w:rsidRDefault="00685259" w:rsidP="00C90243">
      <w:pPr>
        <w:pStyle w:val="aa"/>
        <w:spacing w:line="276" w:lineRule="auto"/>
        <w:ind w:firstLine="709"/>
      </w:pPr>
      <w:r w:rsidRPr="00932F66">
        <w:t xml:space="preserve">Результати перегляду апеляційним адміністративним судом </w:t>
      </w:r>
    </w:p>
    <w:p w:rsidR="00685259" w:rsidRPr="00932F66" w:rsidRDefault="00685259" w:rsidP="00C90243">
      <w:pPr>
        <w:pStyle w:val="aa"/>
        <w:spacing w:line="276" w:lineRule="auto"/>
        <w:ind w:firstLine="709"/>
      </w:pPr>
      <w:r w:rsidRPr="00932F66">
        <w:t>справ за апеляційними скаргами, де ухвалу місцевого загального суду першої інстанції скасовано</w:t>
      </w:r>
    </w:p>
    <w:tbl>
      <w:tblPr>
        <w:tblW w:w="10540" w:type="dxa"/>
        <w:tblInd w:w="108" w:type="dxa"/>
        <w:tblLook w:val="04A0"/>
      </w:tblPr>
      <w:tblGrid>
        <w:gridCol w:w="2355"/>
        <w:gridCol w:w="758"/>
        <w:gridCol w:w="777"/>
        <w:gridCol w:w="874"/>
        <w:gridCol w:w="996"/>
        <w:gridCol w:w="753"/>
        <w:gridCol w:w="777"/>
        <w:gridCol w:w="827"/>
        <w:gridCol w:w="996"/>
        <w:gridCol w:w="222"/>
        <w:gridCol w:w="222"/>
        <w:gridCol w:w="983"/>
      </w:tblGrid>
      <w:tr w:rsidR="00685259" w:rsidRPr="00932F66" w:rsidTr="004A7977">
        <w:trPr>
          <w:trHeight w:val="975"/>
        </w:trPr>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b/>
                <w:bCs/>
                <w:sz w:val="16"/>
                <w:szCs w:val="16"/>
                <w:lang w:val="uk-UA"/>
              </w:rPr>
            </w:pPr>
            <w:r w:rsidRPr="00932F66">
              <w:rPr>
                <w:b/>
                <w:bCs/>
                <w:sz w:val="16"/>
                <w:szCs w:val="16"/>
                <w:lang w:val="uk-UA"/>
              </w:rPr>
              <w:t>Область</w:t>
            </w:r>
          </w:p>
        </w:tc>
        <w:tc>
          <w:tcPr>
            <w:tcW w:w="1562" w:type="dxa"/>
            <w:gridSpan w:val="2"/>
            <w:tcBorders>
              <w:top w:val="single" w:sz="4" w:space="0" w:color="auto"/>
              <w:left w:val="nil"/>
              <w:bottom w:val="single" w:sz="4" w:space="0" w:color="auto"/>
              <w:right w:val="nil"/>
            </w:tcBorders>
            <w:vAlign w:val="center"/>
            <w:hideMark/>
          </w:tcPr>
          <w:p w:rsidR="00685259" w:rsidRPr="00932F66" w:rsidRDefault="00685259" w:rsidP="004A7977">
            <w:pPr>
              <w:spacing w:line="276" w:lineRule="auto"/>
              <w:jc w:val="center"/>
              <w:rPr>
                <w:b/>
                <w:bCs/>
                <w:sz w:val="16"/>
                <w:szCs w:val="16"/>
                <w:lang w:val="uk-UA"/>
              </w:rPr>
            </w:pPr>
            <w:r w:rsidRPr="00932F66">
              <w:rPr>
                <w:b/>
                <w:bCs/>
                <w:sz w:val="16"/>
                <w:szCs w:val="16"/>
                <w:lang w:val="uk-UA"/>
              </w:rPr>
              <w:t>Кількість переглянутих ухвал</w:t>
            </w:r>
          </w:p>
        </w:tc>
        <w:tc>
          <w:tcPr>
            <w:tcW w:w="1821" w:type="dxa"/>
            <w:gridSpan w:val="2"/>
            <w:tcBorders>
              <w:top w:val="single" w:sz="4" w:space="0" w:color="auto"/>
              <w:left w:val="nil"/>
              <w:bottom w:val="single" w:sz="4" w:space="0" w:color="auto"/>
              <w:right w:val="nil"/>
            </w:tcBorders>
            <w:vAlign w:val="center"/>
            <w:hideMark/>
          </w:tcPr>
          <w:p w:rsidR="00685259" w:rsidRPr="00932F66" w:rsidRDefault="00685259" w:rsidP="004A7977">
            <w:pPr>
              <w:spacing w:line="276" w:lineRule="auto"/>
              <w:jc w:val="center"/>
              <w:rPr>
                <w:b/>
                <w:bCs/>
                <w:sz w:val="18"/>
                <w:szCs w:val="18"/>
                <w:lang w:val="uk-UA"/>
              </w:rPr>
            </w:pPr>
            <w:r w:rsidRPr="00932F66">
              <w:rPr>
                <w:b/>
                <w:bCs/>
                <w:sz w:val="18"/>
                <w:szCs w:val="18"/>
                <w:lang w:val="uk-UA"/>
              </w:rPr>
              <w:t>Питома вага від усіх переглянутих ухвал місцевих загальних судів регіону</w:t>
            </w:r>
          </w:p>
        </w:tc>
        <w:tc>
          <w:tcPr>
            <w:tcW w:w="1562" w:type="dxa"/>
            <w:gridSpan w:val="2"/>
            <w:tcBorders>
              <w:top w:val="single" w:sz="4" w:space="0" w:color="auto"/>
              <w:left w:val="nil"/>
              <w:bottom w:val="single" w:sz="4" w:space="0" w:color="auto"/>
              <w:right w:val="nil"/>
            </w:tcBorders>
            <w:vAlign w:val="center"/>
            <w:hideMark/>
          </w:tcPr>
          <w:p w:rsidR="00685259" w:rsidRPr="00932F66" w:rsidRDefault="00685259" w:rsidP="004A7977">
            <w:pPr>
              <w:spacing w:line="276" w:lineRule="auto"/>
              <w:jc w:val="center"/>
              <w:rPr>
                <w:b/>
                <w:bCs/>
                <w:sz w:val="18"/>
                <w:szCs w:val="18"/>
                <w:lang w:val="uk-UA"/>
              </w:rPr>
            </w:pPr>
            <w:r w:rsidRPr="00932F66">
              <w:rPr>
                <w:b/>
                <w:bCs/>
                <w:sz w:val="18"/>
                <w:szCs w:val="18"/>
                <w:lang w:val="uk-UA"/>
              </w:rPr>
              <w:t>Кількість скасованих ухвал</w:t>
            </w:r>
          </w:p>
        </w:tc>
        <w:tc>
          <w:tcPr>
            <w:tcW w:w="1752" w:type="dxa"/>
            <w:gridSpan w:val="2"/>
            <w:tcBorders>
              <w:top w:val="single" w:sz="4" w:space="0" w:color="auto"/>
              <w:left w:val="nil"/>
              <w:bottom w:val="single" w:sz="4" w:space="0" w:color="auto"/>
              <w:right w:val="single" w:sz="4" w:space="0" w:color="auto"/>
            </w:tcBorders>
            <w:vAlign w:val="center"/>
            <w:hideMark/>
          </w:tcPr>
          <w:p w:rsidR="00685259" w:rsidRPr="00932F66" w:rsidRDefault="00685259" w:rsidP="004A7977">
            <w:pPr>
              <w:spacing w:line="276" w:lineRule="auto"/>
              <w:jc w:val="center"/>
              <w:rPr>
                <w:b/>
                <w:bCs/>
                <w:sz w:val="18"/>
                <w:szCs w:val="18"/>
                <w:lang w:val="uk-UA"/>
              </w:rPr>
            </w:pPr>
            <w:r w:rsidRPr="00932F66">
              <w:rPr>
                <w:b/>
                <w:bCs/>
                <w:sz w:val="18"/>
                <w:szCs w:val="18"/>
                <w:lang w:val="uk-UA"/>
              </w:rPr>
              <w:t xml:space="preserve">Питома вага скасованих ухвал </w:t>
            </w:r>
          </w:p>
        </w:tc>
        <w:tc>
          <w:tcPr>
            <w:tcW w:w="222" w:type="dxa"/>
            <w:tcBorders>
              <w:left w:val="single" w:sz="4" w:space="0" w:color="auto"/>
            </w:tcBorders>
            <w:vAlign w:val="center"/>
            <w:hideMark/>
          </w:tcPr>
          <w:p w:rsidR="00685259" w:rsidRPr="00932F66" w:rsidRDefault="00685259" w:rsidP="004A7977">
            <w:pPr>
              <w:spacing w:line="276" w:lineRule="auto"/>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1045"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675"/>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rPr>
                <w:b/>
                <w:bCs/>
                <w:sz w:val="16"/>
                <w:szCs w:val="16"/>
                <w:lang w:val="uk-UA"/>
              </w:rPr>
            </w:pPr>
          </w:p>
        </w:tc>
        <w:tc>
          <w:tcPr>
            <w:tcW w:w="781" w:type="dxa"/>
            <w:vMerge w:val="restart"/>
            <w:tcBorders>
              <w:top w:val="nil"/>
              <w:left w:val="single" w:sz="4" w:space="0" w:color="auto"/>
              <w:bottom w:val="single" w:sz="4" w:space="0" w:color="auto"/>
              <w:right w:val="single" w:sz="4" w:space="0" w:color="auto"/>
            </w:tcBorders>
            <w:vAlign w:val="center"/>
          </w:tcPr>
          <w:p w:rsidR="00685259" w:rsidRPr="00932F66" w:rsidRDefault="00685259" w:rsidP="004A7977">
            <w:pPr>
              <w:spacing w:line="276" w:lineRule="auto"/>
              <w:jc w:val="center"/>
              <w:rPr>
                <w:sz w:val="16"/>
                <w:szCs w:val="16"/>
                <w:lang w:val="uk-UA"/>
              </w:rPr>
            </w:pPr>
          </w:p>
        </w:tc>
        <w:tc>
          <w:tcPr>
            <w:tcW w:w="781" w:type="dxa"/>
            <w:vMerge w:val="restart"/>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sz w:val="16"/>
                <w:szCs w:val="16"/>
                <w:lang w:val="uk-UA"/>
              </w:rPr>
            </w:pPr>
            <w:r w:rsidRPr="00932F66">
              <w:rPr>
                <w:sz w:val="16"/>
                <w:szCs w:val="16"/>
                <w:lang w:val="uk-UA"/>
              </w:rPr>
              <w:t>2018 рік</w:t>
            </w:r>
          </w:p>
        </w:tc>
        <w:tc>
          <w:tcPr>
            <w:tcW w:w="918" w:type="dxa"/>
            <w:vMerge w:val="restart"/>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sz w:val="16"/>
                <w:szCs w:val="16"/>
                <w:lang w:val="uk-UA"/>
              </w:rPr>
            </w:pPr>
          </w:p>
        </w:tc>
        <w:tc>
          <w:tcPr>
            <w:tcW w:w="903" w:type="dxa"/>
            <w:vMerge w:val="restart"/>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sz w:val="16"/>
                <w:szCs w:val="16"/>
                <w:lang w:val="uk-UA"/>
              </w:rPr>
            </w:pPr>
            <w:r w:rsidRPr="00932F66">
              <w:rPr>
                <w:sz w:val="16"/>
                <w:szCs w:val="16"/>
                <w:lang w:val="uk-UA"/>
              </w:rPr>
              <w:t>2018 рік</w:t>
            </w:r>
          </w:p>
        </w:tc>
        <w:tc>
          <w:tcPr>
            <w:tcW w:w="781" w:type="dxa"/>
            <w:vMerge w:val="restart"/>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sz w:val="16"/>
                <w:szCs w:val="16"/>
                <w:lang w:val="uk-UA"/>
              </w:rPr>
            </w:pPr>
          </w:p>
        </w:tc>
        <w:tc>
          <w:tcPr>
            <w:tcW w:w="781" w:type="dxa"/>
            <w:vMerge w:val="restart"/>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sz w:val="16"/>
                <w:szCs w:val="16"/>
                <w:lang w:val="uk-UA"/>
              </w:rPr>
            </w:pPr>
            <w:r w:rsidRPr="00932F66">
              <w:rPr>
                <w:sz w:val="16"/>
                <w:szCs w:val="16"/>
                <w:lang w:val="uk-UA"/>
              </w:rPr>
              <w:t>2018 рік</w:t>
            </w:r>
          </w:p>
        </w:tc>
        <w:tc>
          <w:tcPr>
            <w:tcW w:w="876" w:type="dxa"/>
            <w:vMerge w:val="restart"/>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sz w:val="16"/>
                <w:szCs w:val="16"/>
                <w:lang w:val="uk-UA"/>
              </w:rPr>
            </w:pPr>
          </w:p>
        </w:tc>
        <w:tc>
          <w:tcPr>
            <w:tcW w:w="876" w:type="dxa"/>
            <w:vMerge w:val="restart"/>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sz w:val="16"/>
                <w:szCs w:val="16"/>
                <w:lang w:val="uk-UA"/>
              </w:rPr>
            </w:pPr>
            <w:r w:rsidRPr="00932F66">
              <w:rPr>
                <w:sz w:val="16"/>
                <w:szCs w:val="16"/>
                <w:lang w:val="uk-UA"/>
              </w:rPr>
              <w:t>2018 рік</w:t>
            </w:r>
          </w:p>
        </w:tc>
        <w:tc>
          <w:tcPr>
            <w:tcW w:w="222" w:type="dxa"/>
            <w:vAlign w:val="center"/>
            <w:hideMark/>
          </w:tcPr>
          <w:p w:rsidR="00685259" w:rsidRPr="00932F66" w:rsidRDefault="00685259" w:rsidP="004A7977">
            <w:pPr>
              <w:spacing w:line="276" w:lineRule="auto"/>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1045"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210"/>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rPr>
                <w:b/>
                <w:bCs/>
                <w:sz w:val="16"/>
                <w:szCs w:val="16"/>
                <w:lang w:val="uk-UA"/>
              </w:rPr>
            </w:pPr>
          </w:p>
        </w:tc>
        <w:tc>
          <w:tcPr>
            <w:tcW w:w="781" w:type="dxa"/>
            <w:vMerge/>
            <w:tcBorders>
              <w:top w:val="nil"/>
              <w:left w:val="single" w:sz="4" w:space="0" w:color="auto"/>
              <w:bottom w:val="single" w:sz="4" w:space="0" w:color="auto"/>
              <w:right w:val="single" w:sz="4" w:space="0" w:color="auto"/>
            </w:tcBorders>
            <w:vAlign w:val="center"/>
          </w:tcPr>
          <w:p w:rsidR="00685259" w:rsidRPr="00932F66" w:rsidRDefault="00685259" w:rsidP="004A7977">
            <w:pPr>
              <w:spacing w:line="276" w:lineRule="auto"/>
              <w:rPr>
                <w:sz w:val="16"/>
                <w:szCs w:val="16"/>
                <w:lang w:val="uk-UA"/>
              </w:rPr>
            </w:pPr>
          </w:p>
        </w:tc>
        <w:tc>
          <w:tcPr>
            <w:tcW w:w="781" w:type="dxa"/>
            <w:vMerge/>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rPr>
                <w:sz w:val="16"/>
                <w:szCs w:val="16"/>
                <w:lang w:val="uk-UA"/>
              </w:rPr>
            </w:pPr>
          </w:p>
        </w:tc>
        <w:tc>
          <w:tcPr>
            <w:tcW w:w="918" w:type="dxa"/>
            <w:vMerge/>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rPr>
                <w:sz w:val="16"/>
                <w:szCs w:val="16"/>
                <w:lang w:val="uk-UA"/>
              </w:rPr>
            </w:pPr>
          </w:p>
        </w:tc>
        <w:tc>
          <w:tcPr>
            <w:tcW w:w="903" w:type="dxa"/>
            <w:vMerge/>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rPr>
                <w:sz w:val="16"/>
                <w:szCs w:val="16"/>
                <w:lang w:val="uk-UA"/>
              </w:rPr>
            </w:pPr>
          </w:p>
        </w:tc>
        <w:tc>
          <w:tcPr>
            <w:tcW w:w="781" w:type="dxa"/>
            <w:vMerge/>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rPr>
                <w:sz w:val="16"/>
                <w:szCs w:val="16"/>
                <w:lang w:val="uk-UA"/>
              </w:rPr>
            </w:pPr>
          </w:p>
        </w:tc>
        <w:tc>
          <w:tcPr>
            <w:tcW w:w="781" w:type="dxa"/>
            <w:vMerge/>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rPr>
                <w:sz w:val="16"/>
                <w:szCs w:val="16"/>
                <w:lang w:val="uk-UA"/>
              </w:rPr>
            </w:pPr>
          </w:p>
        </w:tc>
        <w:tc>
          <w:tcPr>
            <w:tcW w:w="876" w:type="dxa"/>
            <w:vMerge/>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rPr>
                <w:sz w:val="16"/>
                <w:szCs w:val="16"/>
                <w:lang w:val="uk-UA"/>
              </w:rPr>
            </w:pPr>
          </w:p>
        </w:tc>
        <w:tc>
          <w:tcPr>
            <w:tcW w:w="876" w:type="dxa"/>
            <w:vMerge/>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rPr>
                <w:sz w:val="16"/>
                <w:szCs w:val="16"/>
                <w:lang w:val="uk-UA"/>
              </w:rPr>
            </w:pPr>
          </w:p>
        </w:tc>
        <w:tc>
          <w:tcPr>
            <w:tcW w:w="222" w:type="dxa"/>
            <w:tcBorders>
              <w:top w:val="nil"/>
              <w:left w:val="nil"/>
              <w:bottom w:val="nil"/>
              <w:right w:val="nil"/>
            </w:tcBorders>
            <w:noWrap/>
            <w:vAlign w:val="bottom"/>
            <w:hideMark/>
          </w:tcPr>
          <w:p w:rsidR="00685259" w:rsidRPr="00932F66" w:rsidRDefault="00685259" w:rsidP="004A7977">
            <w:pPr>
              <w:spacing w:line="276" w:lineRule="auto"/>
              <w:rPr>
                <w:rFonts w:ascii="Arial CYR" w:hAnsi="Arial CYR" w:cs="Arial CY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1045"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225"/>
        </w:trPr>
        <w:tc>
          <w:tcPr>
            <w:tcW w:w="2354" w:type="dxa"/>
            <w:tcBorders>
              <w:top w:val="nil"/>
              <w:left w:val="single" w:sz="4" w:space="0" w:color="auto"/>
              <w:bottom w:val="single" w:sz="4" w:space="0" w:color="auto"/>
              <w:right w:val="single" w:sz="4" w:space="0" w:color="auto"/>
            </w:tcBorders>
            <w:vAlign w:val="bottom"/>
            <w:hideMark/>
          </w:tcPr>
          <w:p w:rsidR="00685259" w:rsidRPr="00932F66" w:rsidRDefault="00685259" w:rsidP="004A7977">
            <w:pPr>
              <w:spacing w:line="276" w:lineRule="auto"/>
              <w:jc w:val="center"/>
              <w:rPr>
                <w:b/>
                <w:bCs/>
                <w:sz w:val="16"/>
                <w:szCs w:val="16"/>
                <w:lang w:val="uk-UA"/>
              </w:rPr>
            </w:pPr>
            <w:r w:rsidRPr="00932F66">
              <w:rPr>
                <w:b/>
                <w:bCs/>
                <w:sz w:val="16"/>
                <w:szCs w:val="16"/>
                <w:lang w:val="uk-UA"/>
              </w:rPr>
              <w:t>А</w:t>
            </w:r>
          </w:p>
        </w:tc>
        <w:tc>
          <w:tcPr>
            <w:tcW w:w="781" w:type="dxa"/>
            <w:tcBorders>
              <w:top w:val="nil"/>
              <w:left w:val="nil"/>
              <w:bottom w:val="single" w:sz="4" w:space="0" w:color="auto"/>
              <w:right w:val="single" w:sz="4" w:space="0" w:color="auto"/>
            </w:tcBorders>
            <w:vAlign w:val="bottom"/>
          </w:tcPr>
          <w:p w:rsidR="00685259" w:rsidRPr="00932F66" w:rsidRDefault="00685259" w:rsidP="004A7977">
            <w:pPr>
              <w:spacing w:line="276" w:lineRule="auto"/>
              <w:jc w:val="center"/>
              <w:rPr>
                <w:b/>
                <w:bCs/>
                <w:sz w:val="16"/>
                <w:szCs w:val="16"/>
                <w:lang w:val="uk-UA"/>
              </w:rPr>
            </w:pPr>
          </w:p>
        </w:tc>
        <w:tc>
          <w:tcPr>
            <w:tcW w:w="781" w:type="dxa"/>
            <w:tcBorders>
              <w:top w:val="nil"/>
              <w:left w:val="nil"/>
              <w:bottom w:val="single" w:sz="4" w:space="0" w:color="auto"/>
              <w:right w:val="single" w:sz="4" w:space="0" w:color="auto"/>
            </w:tcBorders>
            <w:vAlign w:val="bottom"/>
            <w:hideMark/>
          </w:tcPr>
          <w:p w:rsidR="00685259" w:rsidRPr="00932F66" w:rsidRDefault="00685259" w:rsidP="004A7977">
            <w:pPr>
              <w:spacing w:line="276" w:lineRule="auto"/>
              <w:jc w:val="center"/>
              <w:rPr>
                <w:b/>
                <w:bCs/>
                <w:sz w:val="16"/>
                <w:szCs w:val="16"/>
                <w:lang w:val="uk-UA"/>
              </w:rPr>
            </w:pPr>
            <w:r w:rsidRPr="00932F66">
              <w:rPr>
                <w:b/>
                <w:bCs/>
                <w:sz w:val="16"/>
                <w:szCs w:val="16"/>
                <w:lang w:val="uk-UA"/>
              </w:rPr>
              <w:t>1</w:t>
            </w:r>
          </w:p>
        </w:tc>
        <w:tc>
          <w:tcPr>
            <w:tcW w:w="918" w:type="dxa"/>
            <w:tcBorders>
              <w:top w:val="nil"/>
              <w:left w:val="nil"/>
              <w:bottom w:val="single" w:sz="4" w:space="0" w:color="auto"/>
              <w:right w:val="single" w:sz="4" w:space="0" w:color="auto"/>
            </w:tcBorders>
            <w:vAlign w:val="bottom"/>
            <w:hideMark/>
          </w:tcPr>
          <w:p w:rsidR="00685259" w:rsidRPr="00932F66" w:rsidRDefault="00685259" w:rsidP="004A7977">
            <w:pPr>
              <w:spacing w:line="276" w:lineRule="auto"/>
              <w:jc w:val="center"/>
              <w:rPr>
                <w:b/>
                <w:bCs/>
                <w:sz w:val="16"/>
                <w:szCs w:val="16"/>
                <w:lang w:val="uk-UA"/>
              </w:rPr>
            </w:pPr>
          </w:p>
        </w:tc>
        <w:tc>
          <w:tcPr>
            <w:tcW w:w="903" w:type="dxa"/>
            <w:tcBorders>
              <w:top w:val="nil"/>
              <w:left w:val="nil"/>
              <w:bottom w:val="single" w:sz="4" w:space="0" w:color="auto"/>
              <w:right w:val="single" w:sz="4" w:space="0" w:color="auto"/>
            </w:tcBorders>
            <w:vAlign w:val="bottom"/>
            <w:hideMark/>
          </w:tcPr>
          <w:p w:rsidR="00685259" w:rsidRPr="00932F66" w:rsidRDefault="00685259" w:rsidP="004A7977">
            <w:pPr>
              <w:spacing w:line="276" w:lineRule="auto"/>
              <w:jc w:val="center"/>
              <w:rPr>
                <w:b/>
                <w:bCs/>
                <w:sz w:val="16"/>
                <w:szCs w:val="16"/>
                <w:lang w:val="uk-UA"/>
              </w:rPr>
            </w:pPr>
            <w:r w:rsidRPr="00932F66">
              <w:rPr>
                <w:b/>
                <w:bCs/>
                <w:sz w:val="16"/>
                <w:szCs w:val="16"/>
                <w:lang w:val="uk-UA"/>
              </w:rPr>
              <w:t>2</w:t>
            </w:r>
          </w:p>
        </w:tc>
        <w:tc>
          <w:tcPr>
            <w:tcW w:w="781" w:type="dxa"/>
            <w:tcBorders>
              <w:top w:val="nil"/>
              <w:left w:val="nil"/>
              <w:bottom w:val="single" w:sz="4" w:space="0" w:color="auto"/>
              <w:right w:val="single" w:sz="4" w:space="0" w:color="auto"/>
            </w:tcBorders>
            <w:vAlign w:val="bottom"/>
          </w:tcPr>
          <w:p w:rsidR="00685259" w:rsidRPr="00932F66" w:rsidRDefault="00685259" w:rsidP="004A7977">
            <w:pPr>
              <w:spacing w:line="276" w:lineRule="auto"/>
              <w:jc w:val="center"/>
              <w:rPr>
                <w:b/>
                <w:bCs/>
                <w:sz w:val="16"/>
                <w:szCs w:val="16"/>
                <w:lang w:val="uk-UA"/>
              </w:rPr>
            </w:pPr>
          </w:p>
        </w:tc>
        <w:tc>
          <w:tcPr>
            <w:tcW w:w="781" w:type="dxa"/>
            <w:tcBorders>
              <w:top w:val="nil"/>
              <w:left w:val="nil"/>
              <w:bottom w:val="single" w:sz="4" w:space="0" w:color="auto"/>
              <w:right w:val="single" w:sz="4" w:space="0" w:color="auto"/>
            </w:tcBorders>
            <w:vAlign w:val="bottom"/>
            <w:hideMark/>
          </w:tcPr>
          <w:p w:rsidR="00685259" w:rsidRPr="00932F66" w:rsidRDefault="00685259" w:rsidP="004A7977">
            <w:pPr>
              <w:spacing w:line="276" w:lineRule="auto"/>
              <w:jc w:val="center"/>
              <w:rPr>
                <w:b/>
                <w:bCs/>
                <w:sz w:val="16"/>
                <w:szCs w:val="16"/>
                <w:lang w:val="uk-UA"/>
              </w:rPr>
            </w:pPr>
            <w:r w:rsidRPr="00932F66">
              <w:rPr>
                <w:b/>
                <w:bCs/>
                <w:sz w:val="16"/>
                <w:szCs w:val="16"/>
                <w:lang w:val="uk-UA"/>
              </w:rPr>
              <w:t>3</w:t>
            </w:r>
          </w:p>
        </w:tc>
        <w:tc>
          <w:tcPr>
            <w:tcW w:w="876" w:type="dxa"/>
            <w:tcBorders>
              <w:top w:val="nil"/>
              <w:left w:val="nil"/>
              <w:bottom w:val="single" w:sz="4" w:space="0" w:color="auto"/>
              <w:right w:val="single" w:sz="4" w:space="0" w:color="auto"/>
            </w:tcBorders>
            <w:vAlign w:val="bottom"/>
          </w:tcPr>
          <w:p w:rsidR="00685259" w:rsidRPr="00932F66" w:rsidRDefault="00685259" w:rsidP="004A7977">
            <w:pPr>
              <w:spacing w:line="276" w:lineRule="auto"/>
              <w:jc w:val="center"/>
              <w:rPr>
                <w:b/>
                <w:bCs/>
                <w:sz w:val="16"/>
                <w:szCs w:val="16"/>
                <w:lang w:val="uk-UA"/>
              </w:rPr>
            </w:pPr>
          </w:p>
        </w:tc>
        <w:tc>
          <w:tcPr>
            <w:tcW w:w="876" w:type="dxa"/>
            <w:tcBorders>
              <w:top w:val="nil"/>
              <w:left w:val="nil"/>
              <w:bottom w:val="single" w:sz="4" w:space="0" w:color="auto"/>
              <w:right w:val="single" w:sz="4" w:space="0" w:color="auto"/>
            </w:tcBorders>
            <w:vAlign w:val="bottom"/>
            <w:hideMark/>
          </w:tcPr>
          <w:p w:rsidR="00685259" w:rsidRPr="00932F66" w:rsidRDefault="00685259" w:rsidP="004A7977">
            <w:pPr>
              <w:spacing w:line="276" w:lineRule="auto"/>
              <w:jc w:val="center"/>
              <w:rPr>
                <w:b/>
                <w:bCs/>
                <w:sz w:val="16"/>
                <w:szCs w:val="16"/>
                <w:lang w:val="uk-UA"/>
              </w:rPr>
            </w:pPr>
            <w:r w:rsidRPr="00932F66">
              <w:rPr>
                <w:b/>
                <w:bCs/>
                <w:sz w:val="16"/>
                <w:szCs w:val="16"/>
                <w:lang w:val="uk-UA"/>
              </w:rPr>
              <w:t>4</w:t>
            </w:r>
          </w:p>
        </w:tc>
        <w:tc>
          <w:tcPr>
            <w:tcW w:w="222" w:type="dxa"/>
            <w:vAlign w:val="center"/>
            <w:hideMark/>
          </w:tcPr>
          <w:p w:rsidR="00685259" w:rsidRPr="00932F66" w:rsidRDefault="00685259" w:rsidP="004A7977">
            <w:pPr>
              <w:spacing w:line="276" w:lineRule="auto"/>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1045"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480"/>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ВОЛИНСЬКА</w:t>
            </w: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4A7977">
            <w:pPr>
              <w:spacing w:line="276" w:lineRule="auto"/>
              <w:jc w:val="center"/>
              <w:rPr>
                <w:b/>
                <w:bCs/>
                <w:lang w:val="uk-UA"/>
              </w:rPr>
            </w:pPr>
            <w:r w:rsidRPr="00932F66">
              <w:rPr>
                <w:b/>
                <w:bCs/>
                <w:lang w:val="uk-UA"/>
              </w:rPr>
              <w:t>30</w:t>
            </w:r>
          </w:p>
        </w:tc>
        <w:tc>
          <w:tcPr>
            <w:tcW w:w="918"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903"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4A7977">
            <w:pPr>
              <w:spacing w:line="276" w:lineRule="auto"/>
              <w:jc w:val="center"/>
              <w:rPr>
                <w:b/>
                <w:bCs/>
                <w:lang w:val="uk-UA"/>
              </w:rPr>
            </w:pPr>
            <w:r w:rsidRPr="00932F66">
              <w:rPr>
                <w:b/>
                <w:bCs/>
                <w:lang w:val="uk-UA"/>
              </w:rPr>
              <w:t>10,56%</w:t>
            </w: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r w:rsidRPr="00932F66">
              <w:rPr>
                <w:b/>
                <w:bCs/>
                <w:lang w:val="uk-UA"/>
              </w:rPr>
              <w:t>15</w:t>
            </w:r>
          </w:p>
        </w:tc>
        <w:tc>
          <w:tcPr>
            <w:tcW w:w="876"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876"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4A7977">
            <w:pPr>
              <w:spacing w:line="276" w:lineRule="auto"/>
              <w:jc w:val="center"/>
              <w:rPr>
                <w:b/>
                <w:bCs/>
                <w:lang w:val="uk-UA"/>
              </w:rPr>
            </w:pPr>
            <w:r w:rsidRPr="00932F66">
              <w:rPr>
                <w:b/>
                <w:bCs/>
                <w:lang w:val="uk-UA"/>
              </w:rPr>
              <w:t>50%</w:t>
            </w:r>
          </w:p>
        </w:tc>
        <w:tc>
          <w:tcPr>
            <w:tcW w:w="222" w:type="dxa"/>
            <w:vAlign w:val="center"/>
            <w:hideMark/>
          </w:tcPr>
          <w:p w:rsidR="00685259" w:rsidRPr="00932F66" w:rsidRDefault="00685259" w:rsidP="004A7977">
            <w:pPr>
              <w:spacing w:line="276" w:lineRule="auto"/>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1045"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405"/>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ЗАКАРПАТСЬКА</w:t>
            </w:r>
          </w:p>
        </w:tc>
        <w:tc>
          <w:tcPr>
            <w:tcW w:w="781"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41</w:t>
            </w:r>
          </w:p>
        </w:tc>
        <w:tc>
          <w:tcPr>
            <w:tcW w:w="918"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903" w:type="dxa"/>
            <w:tcBorders>
              <w:top w:val="nil"/>
              <w:left w:val="nil"/>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14,43%</w:t>
            </w:r>
          </w:p>
        </w:tc>
        <w:tc>
          <w:tcPr>
            <w:tcW w:w="781"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r w:rsidRPr="00932F66">
              <w:rPr>
                <w:b/>
                <w:bCs/>
                <w:lang w:val="uk-UA"/>
              </w:rPr>
              <w:t>28</w:t>
            </w:r>
          </w:p>
        </w:tc>
        <w:tc>
          <w:tcPr>
            <w:tcW w:w="876"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876" w:type="dxa"/>
            <w:tcBorders>
              <w:top w:val="nil"/>
              <w:left w:val="nil"/>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68,29%</w:t>
            </w:r>
          </w:p>
        </w:tc>
        <w:tc>
          <w:tcPr>
            <w:tcW w:w="222" w:type="dxa"/>
            <w:vAlign w:val="center"/>
            <w:hideMark/>
          </w:tcPr>
          <w:p w:rsidR="00685259" w:rsidRPr="00932F66" w:rsidRDefault="00685259" w:rsidP="004A7977">
            <w:pPr>
              <w:spacing w:line="276" w:lineRule="auto"/>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1045"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675"/>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lastRenderedPageBreak/>
              <w:t>ІВАНО-ФРАНКІВСЬКА</w:t>
            </w: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4A7977">
            <w:pPr>
              <w:spacing w:line="276" w:lineRule="auto"/>
              <w:jc w:val="center"/>
              <w:rPr>
                <w:b/>
                <w:bCs/>
                <w:lang w:val="uk-UA"/>
              </w:rPr>
            </w:pPr>
            <w:r w:rsidRPr="00932F66">
              <w:rPr>
                <w:b/>
                <w:bCs/>
                <w:lang w:val="uk-UA"/>
              </w:rPr>
              <w:t>57</w:t>
            </w:r>
          </w:p>
        </w:tc>
        <w:tc>
          <w:tcPr>
            <w:tcW w:w="918"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903"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4A7977">
            <w:pPr>
              <w:spacing w:line="276" w:lineRule="auto"/>
              <w:jc w:val="center"/>
              <w:rPr>
                <w:b/>
                <w:bCs/>
                <w:lang w:val="uk-UA"/>
              </w:rPr>
            </w:pPr>
            <w:r w:rsidRPr="00932F66">
              <w:rPr>
                <w:b/>
                <w:bCs/>
                <w:lang w:val="uk-UA"/>
              </w:rPr>
              <w:t>20,07%</w:t>
            </w: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r w:rsidRPr="00932F66">
              <w:rPr>
                <w:b/>
                <w:bCs/>
                <w:lang w:val="uk-UA"/>
              </w:rPr>
              <w:t>28</w:t>
            </w:r>
          </w:p>
        </w:tc>
        <w:tc>
          <w:tcPr>
            <w:tcW w:w="876"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876"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4A7977">
            <w:pPr>
              <w:spacing w:line="276" w:lineRule="auto"/>
              <w:jc w:val="center"/>
              <w:rPr>
                <w:b/>
                <w:bCs/>
                <w:lang w:val="uk-UA"/>
              </w:rPr>
            </w:pPr>
            <w:r w:rsidRPr="00932F66">
              <w:rPr>
                <w:b/>
                <w:bCs/>
                <w:lang w:val="uk-UA"/>
              </w:rPr>
              <w:t>49,12%</w:t>
            </w:r>
          </w:p>
        </w:tc>
        <w:tc>
          <w:tcPr>
            <w:tcW w:w="222" w:type="dxa"/>
            <w:vAlign w:val="center"/>
            <w:hideMark/>
          </w:tcPr>
          <w:p w:rsidR="00685259" w:rsidRPr="00932F66" w:rsidRDefault="00685259" w:rsidP="004A7977">
            <w:pPr>
              <w:spacing w:line="276" w:lineRule="auto"/>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1045"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480"/>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ЛЬВІВСЬКА</w:t>
            </w:r>
          </w:p>
        </w:tc>
        <w:tc>
          <w:tcPr>
            <w:tcW w:w="781"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131</w:t>
            </w:r>
          </w:p>
        </w:tc>
        <w:tc>
          <w:tcPr>
            <w:tcW w:w="918"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903" w:type="dxa"/>
            <w:tcBorders>
              <w:top w:val="nil"/>
              <w:left w:val="nil"/>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46,12%</w:t>
            </w:r>
          </w:p>
        </w:tc>
        <w:tc>
          <w:tcPr>
            <w:tcW w:w="781"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r w:rsidRPr="00932F66">
              <w:rPr>
                <w:b/>
                <w:bCs/>
                <w:lang w:val="uk-UA"/>
              </w:rPr>
              <w:t>68</w:t>
            </w:r>
          </w:p>
        </w:tc>
        <w:tc>
          <w:tcPr>
            <w:tcW w:w="876"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876" w:type="dxa"/>
            <w:tcBorders>
              <w:top w:val="nil"/>
              <w:left w:val="nil"/>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51,9%</w:t>
            </w:r>
          </w:p>
        </w:tc>
        <w:tc>
          <w:tcPr>
            <w:tcW w:w="222" w:type="dxa"/>
            <w:vAlign w:val="center"/>
            <w:hideMark/>
          </w:tcPr>
          <w:p w:rsidR="00685259" w:rsidRPr="00932F66" w:rsidRDefault="00685259" w:rsidP="004A7977">
            <w:pPr>
              <w:spacing w:line="276" w:lineRule="auto"/>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1045"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435"/>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ТЕРНОПІЛЬСЬКА</w:t>
            </w: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4A7977">
            <w:pPr>
              <w:spacing w:line="276" w:lineRule="auto"/>
              <w:jc w:val="center"/>
              <w:rPr>
                <w:b/>
                <w:bCs/>
                <w:lang w:val="uk-UA"/>
              </w:rPr>
            </w:pPr>
            <w:r w:rsidRPr="00932F66">
              <w:rPr>
                <w:b/>
                <w:bCs/>
                <w:lang w:val="uk-UA"/>
              </w:rPr>
              <w:t>25</w:t>
            </w:r>
          </w:p>
        </w:tc>
        <w:tc>
          <w:tcPr>
            <w:tcW w:w="918"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903"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4A7977">
            <w:pPr>
              <w:spacing w:line="276" w:lineRule="auto"/>
              <w:jc w:val="center"/>
              <w:rPr>
                <w:b/>
                <w:bCs/>
                <w:lang w:val="uk-UA"/>
              </w:rPr>
            </w:pPr>
            <w:r w:rsidRPr="00932F66">
              <w:rPr>
                <w:b/>
                <w:bCs/>
                <w:lang w:val="uk-UA"/>
              </w:rPr>
              <w:t>8,8%</w:t>
            </w: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r w:rsidRPr="00932F66">
              <w:rPr>
                <w:b/>
                <w:bCs/>
                <w:lang w:val="uk-UA"/>
              </w:rPr>
              <w:t>16</w:t>
            </w:r>
          </w:p>
        </w:tc>
        <w:tc>
          <w:tcPr>
            <w:tcW w:w="876" w:type="dxa"/>
            <w:tcBorders>
              <w:top w:val="nil"/>
              <w:left w:val="nil"/>
              <w:bottom w:val="single" w:sz="4" w:space="0" w:color="auto"/>
              <w:right w:val="single" w:sz="4" w:space="0" w:color="auto"/>
            </w:tcBorders>
            <w:shd w:val="clear" w:color="000000" w:fill="FFFF00"/>
            <w:vAlign w:val="center"/>
          </w:tcPr>
          <w:p w:rsidR="00685259" w:rsidRPr="00932F66" w:rsidRDefault="00685259" w:rsidP="004A7977">
            <w:pPr>
              <w:spacing w:line="276" w:lineRule="auto"/>
              <w:jc w:val="center"/>
              <w:rPr>
                <w:b/>
                <w:bCs/>
                <w:lang w:val="uk-UA"/>
              </w:rPr>
            </w:pPr>
          </w:p>
        </w:tc>
        <w:tc>
          <w:tcPr>
            <w:tcW w:w="876"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4A7977">
            <w:pPr>
              <w:spacing w:line="276" w:lineRule="auto"/>
              <w:jc w:val="center"/>
              <w:rPr>
                <w:b/>
                <w:bCs/>
                <w:lang w:val="uk-UA"/>
              </w:rPr>
            </w:pPr>
            <w:r w:rsidRPr="00932F66">
              <w:rPr>
                <w:b/>
                <w:bCs/>
                <w:lang w:val="uk-UA"/>
              </w:rPr>
              <w:t>64%</w:t>
            </w:r>
          </w:p>
        </w:tc>
        <w:tc>
          <w:tcPr>
            <w:tcW w:w="222" w:type="dxa"/>
            <w:vAlign w:val="center"/>
            <w:hideMark/>
          </w:tcPr>
          <w:p w:rsidR="00685259" w:rsidRPr="00932F66" w:rsidRDefault="00685259" w:rsidP="004A7977">
            <w:pPr>
              <w:spacing w:line="276" w:lineRule="auto"/>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1045"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465"/>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ВСЬОГО</w:t>
            </w:r>
          </w:p>
        </w:tc>
        <w:tc>
          <w:tcPr>
            <w:tcW w:w="781"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284</w:t>
            </w:r>
          </w:p>
        </w:tc>
        <w:tc>
          <w:tcPr>
            <w:tcW w:w="918"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903" w:type="dxa"/>
            <w:tcBorders>
              <w:top w:val="nil"/>
              <w:left w:val="nil"/>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100%</w:t>
            </w:r>
          </w:p>
        </w:tc>
        <w:tc>
          <w:tcPr>
            <w:tcW w:w="781"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781"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r w:rsidRPr="00932F66">
              <w:rPr>
                <w:b/>
                <w:bCs/>
                <w:lang w:val="uk-UA"/>
              </w:rPr>
              <w:t>155</w:t>
            </w:r>
          </w:p>
        </w:tc>
        <w:tc>
          <w:tcPr>
            <w:tcW w:w="876" w:type="dxa"/>
            <w:tcBorders>
              <w:top w:val="nil"/>
              <w:left w:val="nil"/>
              <w:bottom w:val="single" w:sz="4" w:space="0" w:color="auto"/>
              <w:right w:val="single" w:sz="4" w:space="0" w:color="auto"/>
            </w:tcBorders>
            <w:vAlign w:val="center"/>
          </w:tcPr>
          <w:p w:rsidR="00685259" w:rsidRPr="00932F66" w:rsidRDefault="00685259" w:rsidP="004A7977">
            <w:pPr>
              <w:spacing w:line="276" w:lineRule="auto"/>
              <w:jc w:val="center"/>
              <w:rPr>
                <w:b/>
                <w:bCs/>
                <w:lang w:val="uk-UA"/>
              </w:rPr>
            </w:pPr>
          </w:p>
        </w:tc>
        <w:tc>
          <w:tcPr>
            <w:tcW w:w="876" w:type="dxa"/>
            <w:tcBorders>
              <w:top w:val="nil"/>
              <w:left w:val="nil"/>
              <w:bottom w:val="single" w:sz="4" w:space="0" w:color="auto"/>
              <w:right w:val="single" w:sz="4" w:space="0" w:color="auto"/>
            </w:tcBorders>
            <w:vAlign w:val="center"/>
            <w:hideMark/>
          </w:tcPr>
          <w:p w:rsidR="00685259" w:rsidRPr="00932F66" w:rsidRDefault="00685259" w:rsidP="004A7977">
            <w:pPr>
              <w:spacing w:line="276" w:lineRule="auto"/>
              <w:jc w:val="center"/>
              <w:rPr>
                <w:b/>
                <w:bCs/>
                <w:lang w:val="uk-UA"/>
              </w:rPr>
            </w:pPr>
            <w:r w:rsidRPr="00932F66">
              <w:rPr>
                <w:b/>
                <w:bCs/>
                <w:lang w:val="uk-UA"/>
              </w:rPr>
              <w:t>54,57%</w:t>
            </w:r>
          </w:p>
        </w:tc>
        <w:tc>
          <w:tcPr>
            <w:tcW w:w="222" w:type="dxa"/>
            <w:vAlign w:val="center"/>
            <w:hideMark/>
          </w:tcPr>
          <w:p w:rsidR="00685259" w:rsidRPr="00932F66" w:rsidRDefault="00685259" w:rsidP="004A7977">
            <w:pPr>
              <w:spacing w:line="276" w:lineRule="auto"/>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1045" w:type="dxa"/>
            <w:vAlign w:val="center"/>
            <w:hideMark/>
          </w:tcPr>
          <w:p w:rsidR="00685259" w:rsidRPr="00932F66" w:rsidRDefault="00685259" w:rsidP="00C90243">
            <w:pPr>
              <w:spacing w:line="276" w:lineRule="auto"/>
              <w:ind w:firstLine="709"/>
              <w:rPr>
                <w:sz w:val="20"/>
                <w:szCs w:val="20"/>
                <w:lang w:val="uk-UA"/>
              </w:rPr>
            </w:pPr>
          </w:p>
        </w:tc>
      </w:tr>
    </w:tbl>
    <w:p w:rsidR="00685259" w:rsidRPr="00932F66" w:rsidRDefault="00685259" w:rsidP="00C90243">
      <w:pPr>
        <w:pStyle w:val="ae"/>
        <w:spacing w:line="276" w:lineRule="auto"/>
        <w:ind w:firstLine="709"/>
        <w:jc w:val="both"/>
        <w:rPr>
          <w:rFonts w:ascii="Times New Roman" w:hAnsi="Times New Roman"/>
          <w:sz w:val="28"/>
          <w:szCs w:val="28"/>
        </w:rPr>
      </w:pPr>
    </w:p>
    <w:p w:rsidR="00685259" w:rsidRPr="00932F66" w:rsidRDefault="00685259" w:rsidP="00C90243">
      <w:pPr>
        <w:pStyle w:val="ae"/>
        <w:spacing w:line="276" w:lineRule="auto"/>
        <w:ind w:firstLine="709"/>
        <w:jc w:val="both"/>
        <w:rPr>
          <w:rFonts w:ascii="Times New Roman" w:hAnsi="Times New Roman"/>
          <w:sz w:val="28"/>
          <w:szCs w:val="28"/>
        </w:rPr>
      </w:pPr>
    </w:p>
    <w:p w:rsidR="00685259" w:rsidRPr="00932F66" w:rsidRDefault="00685259" w:rsidP="00C90243">
      <w:pPr>
        <w:pStyle w:val="ae"/>
        <w:spacing w:line="276" w:lineRule="auto"/>
        <w:ind w:firstLine="709"/>
        <w:jc w:val="both"/>
        <w:rPr>
          <w:rFonts w:ascii="Times New Roman" w:hAnsi="Times New Roman"/>
          <w:sz w:val="28"/>
          <w:szCs w:val="28"/>
        </w:rPr>
      </w:pPr>
      <w:r w:rsidRPr="00932F66">
        <w:rPr>
          <w:rFonts w:ascii="Times New Roman" w:hAnsi="Times New Roman"/>
          <w:sz w:val="28"/>
          <w:szCs w:val="28"/>
        </w:rPr>
        <w:t xml:space="preserve">У звітному періоді необхідно звернути увагу Луцькому міськрайонному суду Волинської області; Ужгородському міськрайонному суду Закарпатської області; Виноградівському, Івано-Франківському міському, Снятинському, Косівському районним, Коломийському міськрайонному судам Івано-Франківської області; Галицькому, Личаківському, Залізничному, Сихівському, Франківському районним судам м. Львова, Пустомитівському районному судам Львівської області, Тернопільському міськрайонному суду Тернопільської області на скасування ухвал з підстав неправильного застосування судами першої інстанції норм процесуального права. </w:t>
      </w:r>
    </w:p>
    <w:p w:rsidR="00685259" w:rsidRPr="00932F66" w:rsidRDefault="00685259" w:rsidP="00C90243">
      <w:pPr>
        <w:pStyle w:val="aa"/>
        <w:spacing w:line="276" w:lineRule="auto"/>
        <w:ind w:firstLine="709"/>
        <w:jc w:val="both"/>
      </w:pPr>
    </w:p>
    <w:p w:rsidR="00685259" w:rsidRPr="00932F66" w:rsidRDefault="00685259" w:rsidP="00C90243">
      <w:pPr>
        <w:pStyle w:val="aa"/>
        <w:spacing w:line="276" w:lineRule="auto"/>
        <w:ind w:firstLine="709"/>
        <w:jc w:val="both"/>
      </w:pPr>
      <w:r w:rsidRPr="004A7977">
        <w:rPr>
          <w:b w:val="0"/>
        </w:rPr>
        <w:t>Найбільш</w:t>
      </w:r>
      <w:r w:rsidRPr="00932F66">
        <w:rPr>
          <w:b w:val="0"/>
        </w:rPr>
        <w:t xml:space="preserve"> суттєві показники, пов’язані з апеляційним переглядом ухвал окружних адміністративних судів регіону у звітному періоді, відображено в </w:t>
      </w:r>
      <w:r w:rsidRPr="00932F66">
        <w:t>таблиці 18.</w:t>
      </w:r>
    </w:p>
    <w:p w:rsidR="00685259" w:rsidRPr="00932F66" w:rsidRDefault="00685259" w:rsidP="00C90243">
      <w:pPr>
        <w:pStyle w:val="aa"/>
        <w:spacing w:line="276" w:lineRule="auto"/>
        <w:ind w:firstLine="709"/>
        <w:jc w:val="both"/>
      </w:pPr>
    </w:p>
    <w:p w:rsidR="00685259" w:rsidRPr="00932F66" w:rsidRDefault="00685259" w:rsidP="00C90243">
      <w:pPr>
        <w:pStyle w:val="aa"/>
        <w:spacing w:line="276" w:lineRule="auto"/>
        <w:ind w:firstLine="709"/>
        <w:jc w:val="right"/>
      </w:pPr>
      <w:r w:rsidRPr="00932F66">
        <w:t>Таблиця 18</w:t>
      </w:r>
    </w:p>
    <w:p w:rsidR="00685259" w:rsidRPr="00932F66" w:rsidRDefault="00685259" w:rsidP="00C90243">
      <w:pPr>
        <w:pStyle w:val="aa"/>
        <w:spacing w:line="276" w:lineRule="auto"/>
        <w:ind w:firstLine="709"/>
      </w:pPr>
      <w:r w:rsidRPr="00932F66">
        <w:t xml:space="preserve">Результати перегляду апеляційним адміністративним судом </w:t>
      </w:r>
    </w:p>
    <w:p w:rsidR="00685259" w:rsidRPr="00932F66" w:rsidRDefault="00685259" w:rsidP="00C90243">
      <w:pPr>
        <w:pStyle w:val="aa"/>
        <w:spacing w:line="276" w:lineRule="auto"/>
        <w:ind w:firstLine="709"/>
        <w:rPr>
          <w:b w:val="0"/>
        </w:rPr>
      </w:pPr>
      <w:r w:rsidRPr="00932F66">
        <w:t>справ за апеляційними скаргами, де ухвалу окружного адміністративного суду скасовано</w:t>
      </w:r>
    </w:p>
    <w:tbl>
      <w:tblPr>
        <w:tblW w:w="10465" w:type="dxa"/>
        <w:tblInd w:w="108" w:type="dxa"/>
        <w:tblLook w:val="04A0"/>
      </w:tblPr>
      <w:tblGrid>
        <w:gridCol w:w="2354"/>
        <w:gridCol w:w="793"/>
        <w:gridCol w:w="789"/>
        <w:gridCol w:w="975"/>
        <w:gridCol w:w="952"/>
        <w:gridCol w:w="781"/>
        <w:gridCol w:w="781"/>
        <w:gridCol w:w="905"/>
        <w:gridCol w:w="894"/>
        <w:gridCol w:w="222"/>
        <w:gridCol w:w="222"/>
        <w:gridCol w:w="797"/>
      </w:tblGrid>
      <w:tr w:rsidR="00685259" w:rsidRPr="00932F66" w:rsidTr="0011162C">
        <w:trPr>
          <w:trHeight w:val="975"/>
        </w:trPr>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685259" w:rsidRPr="00932F66" w:rsidRDefault="00685259" w:rsidP="00C90243">
            <w:pPr>
              <w:spacing w:line="276" w:lineRule="auto"/>
              <w:ind w:firstLine="709"/>
              <w:jc w:val="center"/>
              <w:rPr>
                <w:b/>
                <w:bCs/>
                <w:sz w:val="16"/>
                <w:szCs w:val="16"/>
                <w:lang w:val="uk-UA"/>
              </w:rPr>
            </w:pPr>
            <w:r w:rsidRPr="00932F66">
              <w:rPr>
                <w:b/>
                <w:bCs/>
                <w:sz w:val="16"/>
                <w:szCs w:val="16"/>
                <w:lang w:val="uk-UA"/>
              </w:rPr>
              <w:t>Область</w:t>
            </w:r>
          </w:p>
        </w:tc>
        <w:tc>
          <w:tcPr>
            <w:tcW w:w="1582" w:type="dxa"/>
            <w:gridSpan w:val="2"/>
            <w:tcBorders>
              <w:top w:val="single" w:sz="4" w:space="0" w:color="auto"/>
              <w:left w:val="nil"/>
              <w:bottom w:val="single" w:sz="4" w:space="0" w:color="auto"/>
              <w:right w:val="nil"/>
            </w:tcBorders>
            <w:vAlign w:val="center"/>
            <w:hideMark/>
          </w:tcPr>
          <w:p w:rsidR="00685259" w:rsidRPr="00932F66" w:rsidRDefault="00685259" w:rsidP="00C90243">
            <w:pPr>
              <w:spacing w:line="276" w:lineRule="auto"/>
              <w:ind w:firstLine="709"/>
              <w:jc w:val="center"/>
              <w:rPr>
                <w:b/>
                <w:bCs/>
                <w:sz w:val="16"/>
                <w:szCs w:val="16"/>
                <w:lang w:val="uk-UA"/>
              </w:rPr>
            </w:pPr>
            <w:r w:rsidRPr="00932F66">
              <w:rPr>
                <w:b/>
                <w:bCs/>
                <w:sz w:val="16"/>
                <w:szCs w:val="16"/>
                <w:lang w:val="uk-UA"/>
              </w:rPr>
              <w:t>Кількість переглянутих ухвал</w:t>
            </w:r>
          </w:p>
        </w:tc>
        <w:tc>
          <w:tcPr>
            <w:tcW w:w="1927" w:type="dxa"/>
            <w:gridSpan w:val="2"/>
            <w:tcBorders>
              <w:top w:val="single" w:sz="4" w:space="0" w:color="auto"/>
              <w:left w:val="nil"/>
              <w:bottom w:val="single" w:sz="4" w:space="0" w:color="auto"/>
              <w:right w:val="nil"/>
            </w:tcBorders>
            <w:vAlign w:val="center"/>
            <w:hideMark/>
          </w:tcPr>
          <w:p w:rsidR="00685259" w:rsidRPr="00932F66" w:rsidRDefault="00685259" w:rsidP="00C90243">
            <w:pPr>
              <w:spacing w:line="276" w:lineRule="auto"/>
              <w:ind w:firstLine="709"/>
              <w:jc w:val="center"/>
              <w:rPr>
                <w:b/>
                <w:bCs/>
                <w:sz w:val="18"/>
                <w:szCs w:val="18"/>
                <w:lang w:val="uk-UA"/>
              </w:rPr>
            </w:pPr>
            <w:r w:rsidRPr="00932F66">
              <w:rPr>
                <w:b/>
                <w:bCs/>
                <w:sz w:val="18"/>
                <w:szCs w:val="18"/>
                <w:lang w:val="uk-UA"/>
              </w:rPr>
              <w:t>Питома вага від усіх переглянутих ухвал регіону</w:t>
            </w:r>
          </w:p>
        </w:tc>
        <w:tc>
          <w:tcPr>
            <w:tcW w:w="1562" w:type="dxa"/>
            <w:gridSpan w:val="2"/>
            <w:tcBorders>
              <w:top w:val="single" w:sz="4" w:space="0" w:color="auto"/>
              <w:left w:val="nil"/>
              <w:bottom w:val="single" w:sz="4" w:space="0" w:color="auto"/>
              <w:right w:val="nil"/>
            </w:tcBorders>
            <w:vAlign w:val="center"/>
            <w:hideMark/>
          </w:tcPr>
          <w:p w:rsidR="00685259" w:rsidRPr="00932F66" w:rsidRDefault="00685259" w:rsidP="00C90243">
            <w:pPr>
              <w:spacing w:line="276" w:lineRule="auto"/>
              <w:ind w:firstLine="709"/>
              <w:jc w:val="center"/>
              <w:rPr>
                <w:b/>
                <w:bCs/>
                <w:sz w:val="18"/>
                <w:szCs w:val="18"/>
                <w:lang w:val="uk-UA"/>
              </w:rPr>
            </w:pPr>
            <w:r w:rsidRPr="00932F66">
              <w:rPr>
                <w:b/>
                <w:bCs/>
                <w:sz w:val="18"/>
                <w:szCs w:val="18"/>
                <w:lang w:val="uk-UA"/>
              </w:rPr>
              <w:t>Кількість скасованих ухвал</w:t>
            </w:r>
          </w:p>
        </w:tc>
        <w:tc>
          <w:tcPr>
            <w:tcW w:w="1799" w:type="dxa"/>
            <w:gridSpan w:val="2"/>
            <w:tcBorders>
              <w:top w:val="single" w:sz="4" w:space="0" w:color="auto"/>
              <w:left w:val="nil"/>
              <w:bottom w:val="single" w:sz="4" w:space="0" w:color="auto"/>
              <w:right w:val="nil"/>
            </w:tcBorders>
            <w:vAlign w:val="center"/>
            <w:hideMark/>
          </w:tcPr>
          <w:p w:rsidR="00685259" w:rsidRPr="00932F66" w:rsidRDefault="00685259" w:rsidP="00C90243">
            <w:pPr>
              <w:spacing w:line="276" w:lineRule="auto"/>
              <w:ind w:firstLine="709"/>
              <w:jc w:val="center"/>
              <w:rPr>
                <w:b/>
                <w:bCs/>
                <w:sz w:val="18"/>
                <w:szCs w:val="18"/>
                <w:lang w:val="uk-UA"/>
              </w:rPr>
            </w:pPr>
            <w:r w:rsidRPr="00932F66">
              <w:rPr>
                <w:b/>
                <w:bCs/>
                <w:sz w:val="18"/>
                <w:szCs w:val="18"/>
                <w:lang w:val="uk-UA"/>
              </w:rPr>
              <w:t xml:space="preserve">Питома вага скасованих ухвал </w:t>
            </w: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797"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675"/>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685259" w:rsidRPr="00932F66" w:rsidRDefault="00685259" w:rsidP="00C90243">
            <w:pPr>
              <w:spacing w:line="276" w:lineRule="auto"/>
              <w:ind w:firstLine="709"/>
              <w:rPr>
                <w:b/>
                <w:bCs/>
                <w:sz w:val="16"/>
                <w:szCs w:val="16"/>
                <w:lang w:val="uk-UA"/>
              </w:rPr>
            </w:pPr>
          </w:p>
        </w:tc>
        <w:tc>
          <w:tcPr>
            <w:tcW w:w="793" w:type="dxa"/>
            <w:vMerge w:val="restart"/>
            <w:tcBorders>
              <w:top w:val="nil"/>
              <w:left w:val="single" w:sz="4" w:space="0" w:color="auto"/>
              <w:bottom w:val="single" w:sz="4" w:space="0" w:color="auto"/>
              <w:right w:val="single" w:sz="4" w:space="0" w:color="auto"/>
            </w:tcBorders>
            <w:vAlign w:val="center"/>
            <w:hideMark/>
          </w:tcPr>
          <w:p w:rsidR="00685259" w:rsidRPr="00932F66" w:rsidRDefault="00685259" w:rsidP="003E6DBA">
            <w:pPr>
              <w:spacing w:line="276" w:lineRule="auto"/>
              <w:ind w:left="-759" w:firstLine="709"/>
              <w:jc w:val="center"/>
              <w:rPr>
                <w:sz w:val="16"/>
                <w:szCs w:val="16"/>
                <w:lang w:val="uk-UA"/>
              </w:rPr>
            </w:pPr>
            <w:r w:rsidRPr="00932F66">
              <w:rPr>
                <w:sz w:val="16"/>
                <w:szCs w:val="16"/>
                <w:lang w:val="uk-UA"/>
              </w:rPr>
              <w:t>2018 рік</w:t>
            </w:r>
          </w:p>
        </w:tc>
        <w:tc>
          <w:tcPr>
            <w:tcW w:w="789" w:type="dxa"/>
            <w:vMerge w:val="restart"/>
            <w:tcBorders>
              <w:top w:val="nil"/>
              <w:left w:val="single" w:sz="4" w:space="0" w:color="auto"/>
              <w:bottom w:val="single" w:sz="4" w:space="0" w:color="auto"/>
              <w:right w:val="single" w:sz="4" w:space="0" w:color="auto"/>
            </w:tcBorders>
            <w:vAlign w:val="center"/>
          </w:tcPr>
          <w:p w:rsidR="00685259" w:rsidRPr="00932F66" w:rsidRDefault="00685259" w:rsidP="003E6DBA">
            <w:pPr>
              <w:spacing w:line="276" w:lineRule="auto"/>
              <w:ind w:left="-759" w:firstLine="709"/>
              <w:jc w:val="center"/>
              <w:rPr>
                <w:sz w:val="16"/>
                <w:szCs w:val="16"/>
                <w:lang w:val="uk-UA"/>
              </w:rPr>
            </w:pPr>
          </w:p>
        </w:tc>
        <w:tc>
          <w:tcPr>
            <w:tcW w:w="975" w:type="dxa"/>
            <w:vMerge w:val="restart"/>
            <w:tcBorders>
              <w:top w:val="nil"/>
              <w:left w:val="single" w:sz="4" w:space="0" w:color="auto"/>
              <w:bottom w:val="single" w:sz="4" w:space="0" w:color="auto"/>
              <w:right w:val="single" w:sz="4" w:space="0" w:color="auto"/>
            </w:tcBorders>
            <w:vAlign w:val="center"/>
            <w:hideMark/>
          </w:tcPr>
          <w:p w:rsidR="00685259" w:rsidRPr="00932F66" w:rsidRDefault="00685259" w:rsidP="003E6DBA">
            <w:pPr>
              <w:spacing w:line="276" w:lineRule="auto"/>
              <w:ind w:left="-759" w:firstLine="709"/>
              <w:jc w:val="center"/>
              <w:rPr>
                <w:sz w:val="16"/>
                <w:szCs w:val="16"/>
                <w:lang w:val="uk-UA"/>
              </w:rPr>
            </w:pPr>
            <w:r w:rsidRPr="00932F66">
              <w:rPr>
                <w:sz w:val="16"/>
                <w:szCs w:val="16"/>
                <w:lang w:val="uk-UA"/>
              </w:rPr>
              <w:t>2018 рік</w:t>
            </w:r>
          </w:p>
        </w:tc>
        <w:tc>
          <w:tcPr>
            <w:tcW w:w="952" w:type="dxa"/>
            <w:vMerge w:val="restart"/>
            <w:tcBorders>
              <w:top w:val="nil"/>
              <w:left w:val="single" w:sz="4" w:space="0" w:color="auto"/>
              <w:bottom w:val="single" w:sz="4" w:space="0" w:color="auto"/>
              <w:right w:val="single" w:sz="4" w:space="0" w:color="auto"/>
            </w:tcBorders>
            <w:vAlign w:val="center"/>
          </w:tcPr>
          <w:p w:rsidR="00685259" w:rsidRPr="00932F66" w:rsidRDefault="00685259" w:rsidP="003E6DBA">
            <w:pPr>
              <w:spacing w:line="276" w:lineRule="auto"/>
              <w:ind w:left="-759" w:firstLine="709"/>
              <w:jc w:val="center"/>
              <w:rPr>
                <w:sz w:val="16"/>
                <w:szCs w:val="16"/>
                <w:lang w:val="uk-UA"/>
              </w:rPr>
            </w:pPr>
          </w:p>
        </w:tc>
        <w:tc>
          <w:tcPr>
            <w:tcW w:w="781" w:type="dxa"/>
            <w:vMerge w:val="restart"/>
            <w:tcBorders>
              <w:top w:val="nil"/>
              <w:left w:val="single" w:sz="4" w:space="0" w:color="auto"/>
              <w:bottom w:val="single" w:sz="4" w:space="0" w:color="auto"/>
              <w:right w:val="single" w:sz="4" w:space="0" w:color="auto"/>
            </w:tcBorders>
            <w:vAlign w:val="center"/>
            <w:hideMark/>
          </w:tcPr>
          <w:p w:rsidR="00685259" w:rsidRPr="00932F66" w:rsidRDefault="00685259" w:rsidP="003E6DBA">
            <w:pPr>
              <w:spacing w:line="276" w:lineRule="auto"/>
              <w:ind w:left="-759" w:firstLine="709"/>
              <w:jc w:val="center"/>
              <w:rPr>
                <w:sz w:val="16"/>
                <w:szCs w:val="16"/>
                <w:lang w:val="uk-UA"/>
              </w:rPr>
            </w:pPr>
            <w:r w:rsidRPr="00932F66">
              <w:rPr>
                <w:sz w:val="16"/>
                <w:szCs w:val="16"/>
                <w:lang w:val="uk-UA"/>
              </w:rPr>
              <w:t>2018 рік</w:t>
            </w:r>
          </w:p>
        </w:tc>
        <w:tc>
          <w:tcPr>
            <w:tcW w:w="781" w:type="dxa"/>
            <w:vMerge w:val="restart"/>
            <w:tcBorders>
              <w:top w:val="nil"/>
              <w:left w:val="single" w:sz="4" w:space="0" w:color="auto"/>
              <w:bottom w:val="single" w:sz="4" w:space="0" w:color="auto"/>
              <w:right w:val="single" w:sz="4" w:space="0" w:color="auto"/>
            </w:tcBorders>
            <w:vAlign w:val="center"/>
          </w:tcPr>
          <w:p w:rsidR="00685259" w:rsidRPr="00932F66" w:rsidRDefault="00685259" w:rsidP="003E6DBA">
            <w:pPr>
              <w:spacing w:line="276" w:lineRule="auto"/>
              <w:ind w:left="-759" w:firstLine="709"/>
              <w:jc w:val="center"/>
              <w:rPr>
                <w:sz w:val="16"/>
                <w:szCs w:val="16"/>
                <w:lang w:val="uk-UA"/>
              </w:rPr>
            </w:pPr>
          </w:p>
        </w:tc>
        <w:tc>
          <w:tcPr>
            <w:tcW w:w="905" w:type="dxa"/>
            <w:vMerge w:val="restart"/>
            <w:tcBorders>
              <w:top w:val="nil"/>
              <w:left w:val="single" w:sz="4" w:space="0" w:color="auto"/>
              <w:bottom w:val="single" w:sz="4" w:space="0" w:color="auto"/>
              <w:right w:val="single" w:sz="4" w:space="0" w:color="auto"/>
            </w:tcBorders>
            <w:vAlign w:val="center"/>
            <w:hideMark/>
          </w:tcPr>
          <w:p w:rsidR="00685259" w:rsidRPr="00932F66" w:rsidRDefault="00685259" w:rsidP="003E6DBA">
            <w:pPr>
              <w:spacing w:line="276" w:lineRule="auto"/>
              <w:ind w:left="-759" w:firstLine="709"/>
              <w:jc w:val="center"/>
              <w:rPr>
                <w:sz w:val="16"/>
                <w:szCs w:val="16"/>
                <w:lang w:val="uk-UA"/>
              </w:rPr>
            </w:pPr>
            <w:r w:rsidRPr="00932F66">
              <w:rPr>
                <w:sz w:val="16"/>
                <w:szCs w:val="16"/>
                <w:lang w:val="uk-UA"/>
              </w:rPr>
              <w:t>2018 рік</w:t>
            </w:r>
          </w:p>
        </w:tc>
        <w:tc>
          <w:tcPr>
            <w:tcW w:w="894" w:type="dxa"/>
            <w:vMerge w:val="restart"/>
            <w:tcBorders>
              <w:top w:val="nil"/>
              <w:left w:val="single" w:sz="4" w:space="0" w:color="auto"/>
              <w:bottom w:val="single" w:sz="4" w:space="0" w:color="auto"/>
              <w:right w:val="single" w:sz="4" w:space="0" w:color="auto"/>
            </w:tcBorders>
            <w:vAlign w:val="center"/>
          </w:tcPr>
          <w:p w:rsidR="00685259" w:rsidRPr="00932F66" w:rsidRDefault="00685259" w:rsidP="003E6DBA">
            <w:pPr>
              <w:spacing w:line="276" w:lineRule="auto"/>
              <w:ind w:left="-759" w:firstLine="709"/>
              <w:jc w:val="center"/>
              <w:rPr>
                <w:sz w:val="16"/>
                <w:szCs w:val="16"/>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797"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210"/>
        </w:trPr>
        <w:tc>
          <w:tcPr>
            <w:tcW w:w="2354" w:type="dxa"/>
            <w:vMerge/>
            <w:tcBorders>
              <w:top w:val="single" w:sz="4" w:space="0" w:color="auto"/>
              <w:left w:val="single" w:sz="4" w:space="0" w:color="auto"/>
              <w:bottom w:val="single" w:sz="4" w:space="0" w:color="auto"/>
              <w:right w:val="single" w:sz="4" w:space="0" w:color="auto"/>
            </w:tcBorders>
            <w:vAlign w:val="center"/>
            <w:hideMark/>
          </w:tcPr>
          <w:p w:rsidR="00685259" w:rsidRPr="00932F66" w:rsidRDefault="00685259" w:rsidP="00C90243">
            <w:pPr>
              <w:spacing w:line="276" w:lineRule="auto"/>
              <w:ind w:firstLine="709"/>
              <w:rPr>
                <w:b/>
                <w:bCs/>
                <w:sz w:val="16"/>
                <w:szCs w:val="16"/>
                <w:lang w:val="uk-UA"/>
              </w:rPr>
            </w:pPr>
          </w:p>
        </w:tc>
        <w:tc>
          <w:tcPr>
            <w:tcW w:w="793" w:type="dxa"/>
            <w:vMerge/>
            <w:tcBorders>
              <w:top w:val="nil"/>
              <w:left w:val="single" w:sz="4" w:space="0" w:color="auto"/>
              <w:bottom w:val="single" w:sz="4" w:space="0" w:color="auto"/>
              <w:right w:val="single" w:sz="4" w:space="0" w:color="auto"/>
            </w:tcBorders>
            <w:vAlign w:val="center"/>
            <w:hideMark/>
          </w:tcPr>
          <w:p w:rsidR="00685259" w:rsidRPr="00932F66" w:rsidRDefault="00685259" w:rsidP="00C90243">
            <w:pPr>
              <w:spacing w:line="276" w:lineRule="auto"/>
              <w:ind w:firstLine="709"/>
              <w:rPr>
                <w:sz w:val="16"/>
                <w:szCs w:val="16"/>
                <w:lang w:val="uk-UA"/>
              </w:rPr>
            </w:pPr>
          </w:p>
        </w:tc>
        <w:tc>
          <w:tcPr>
            <w:tcW w:w="789" w:type="dxa"/>
            <w:vMerge/>
            <w:tcBorders>
              <w:top w:val="nil"/>
              <w:left w:val="single" w:sz="4" w:space="0" w:color="auto"/>
              <w:bottom w:val="single" w:sz="4" w:space="0" w:color="auto"/>
              <w:right w:val="single" w:sz="4" w:space="0" w:color="auto"/>
            </w:tcBorders>
            <w:vAlign w:val="center"/>
          </w:tcPr>
          <w:p w:rsidR="00685259" w:rsidRPr="00932F66" w:rsidRDefault="00685259" w:rsidP="00C90243">
            <w:pPr>
              <w:spacing w:line="276" w:lineRule="auto"/>
              <w:ind w:firstLine="709"/>
              <w:rPr>
                <w:sz w:val="16"/>
                <w:szCs w:val="16"/>
                <w:lang w:val="uk-UA"/>
              </w:rPr>
            </w:pPr>
          </w:p>
        </w:tc>
        <w:tc>
          <w:tcPr>
            <w:tcW w:w="975" w:type="dxa"/>
            <w:vMerge/>
            <w:tcBorders>
              <w:top w:val="nil"/>
              <w:left w:val="single" w:sz="4" w:space="0" w:color="auto"/>
              <w:bottom w:val="single" w:sz="4" w:space="0" w:color="auto"/>
              <w:right w:val="single" w:sz="4" w:space="0" w:color="auto"/>
            </w:tcBorders>
            <w:vAlign w:val="center"/>
            <w:hideMark/>
          </w:tcPr>
          <w:p w:rsidR="00685259" w:rsidRPr="00932F66" w:rsidRDefault="00685259" w:rsidP="00C90243">
            <w:pPr>
              <w:spacing w:line="276" w:lineRule="auto"/>
              <w:ind w:firstLine="709"/>
              <w:rPr>
                <w:sz w:val="16"/>
                <w:szCs w:val="16"/>
                <w:lang w:val="uk-UA"/>
              </w:rPr>
            </w:pPr>
          </w:p>
        </w:tc>
        <w:tc>
          <w:tcPr>
            <w:tcW w:w="952" w:type="dxa"/>
            <w:vMerge/>
            <w:tcBorders>
              <w:top w:val="nil"/>
              <w:left w:val="single" w:sz="4" w:space="0" w:color="auto"/>
              <w:bottom w:val="single" w:sz="4" w:space="0" w:color="auto"/>
              <w:right w:val="single" w:sz="4" w:space="0" w:color="auto"/>
            </w:tcBorders>
            <w:vAlign w:val="center"/>
          </w:tcPr>
          <w:p w:rsidR="00685259" w:rsidRPr="00932F66" w:rsidRDefault="00685259" w:rsidP="00C90243">
            <w:pPr>
              <w:spacing w:line="276" w:lineRule="auto"/>
              <w:ind w:firstLine="709"/>
              <w:rPr>
                <w:sz w:val="16"/>
                <w:szCs w:val="16"/>
                <w:lang w:val="uk-UA"/>
              </w:rPr>
            </w:pPr>
          </w:p>
        </w:tc>
        <w:tc>
          <w:tcPr>
            <w:tcW w:w="781" w:type="dxa"/>
            <w:vMerge/>
            <w:tcBorders>
              <w:top w:val="nil"/>
              <w:left w:val="single" w:sz="4" w:space="0" w:color="auto"/>
              <w:bottom w:val="single" w:sz="4" w:space="0" w:color="auto"/>
              <w:right w:val="single" w:sz="4" w:space="0" w:color="auto"/>
            </w:tcBorders>
            <w:vAlign w:val="center"/>
            <w:hideMark/>
          </w:tcPr>
          <w:p w:rsidR="00685259" w:rsidRPr="00932F66" w:rsidRDefault="00685259" w:rsidP="00C90243">
            <w:pPr>
              <w:spacing w:line="276" w:lineRule="auto"/>
              <w:ind w:firstLine="709"/>
              <w:rPr>
                <w:sz w:val="16"/>
                <w:szCs w:val="16"/>
                <w:lang w:val="uk-UA"/>
              </w:rPr>
            </w:pPr>
          </w:p>
        </w:tc>
        <w:tc>
          <w:tcPr>
            <w:tcW w:w="781" w:type="dxa"/>
            <w:vMerge/>
            <w:tcBorders>
              <w:top w:val="nil"/>
              <w:left w:val="single" w:sz="4" w:space="0" w:color="auto"/>
              <w:bottom w:val="single" w:sz="4" w:space="0" w:color="auto"/>
              <w:right w:val="single" w:sz="4" w:space="0" w:color="auto"/>
            </w:tcBorders>
            <w:vAlign w:val="center"/>
          </w:tcPr>
          <w:p w:rsidR="00685259" w:rsidRPr="00932F66" w:rsidRDefault="00685259" w:rsidP="00C90243">
            <w:pPr>
              <w:spacing w:line="276" w:lineRule="auto"/>
              <w:ind w:firstLine="709"/>
              <w:rPr>
                <w:sz w:val="16"/>
                <w:szCs w:val="16"/>
                <w:lang w:val="uk-UA"/>
              </w:rPr>
            </w:pPr>
          </w:p>
        </w:tc>
        <w:tc>
          <w:tcPr>
            <w:tcW w:w="905" w:type="dxa"/>
            <w:vMerge/>
            <w:tcBorders>
              <w:top w:val="nil"/>
              <w:left w:val="single" w:sz="4" w:space="0" w:color="auto"/>
              <w:bottom w:val="single" w:sz="4" w:space="0" w:color="auto"/>
              <w:right w:val="single" w:sz="4" w:space="0" w:color="auto"/>
            </w:tcBorders>
            <w:vAlign w:val="center"/>
            <w:hideMark/>
          </w:tcPr>
          <w:p w:rsidR="00685259" w:rsidRPr="00932F66" w:rsidRDefault="00685259" w:rsidP="00C90243">
            <w:pPr>
              <w:spacing w:line="276" w:lineRule="auto"/>
              <w:ind w:firstLine="709"/>
              <w:rPr>
                <w:sz w:val="16"/>
                <w:szCs w:val="16"/>
                <w:lang w:val="uk-UA"/>
              </w:rPr>
            </w:pPr>
          </w:p>
        </w:tc>
        <w:tc>
          <w:tcPr>
            <w:tcW w:w="894" w:type="dxa"/>
            <w:vMerge/>
            <w:tcBorders>
              <w:top w:val="nil"/>
              <w:left w:val="single" w:sz="4" w:space="0" w:color="auto"/>
              <w:bottom w:val="single" w:sz="4" w:space="0" w:color="auto"/>
              <w:right w:val="single" w:sz="4" w:space="0" w:color="auto"/>
            </w:tcBorders>
            <w:vAlign w:val="center"/>
          </w:tcPr>
          <w:p w:rsidR="00685259" w:rsidRPr="00932F66" w:rsidRDefault="00685259" w:rsidP="00C90243">
            <w:pPr>
              <w:spacing w:line="276" w:lineRule="auto"/>
              <w:ind w:firstLine="709"/>
              <w:rPr>
                <w:sz w:val="16"/>
                <w:szCs w:val="16"/>
                <w:lang w:val="uk-UA"/>
              </w:rPr>
            </w:pPr>
          </w:p>
        </w:tc>
        <w:tc>
          <w:tcPr>
            <w:tcW w:w="222" w:type="dxa"/>
            <w:tcBorders>
              <w:top w:val="nil"/>
              <w:left w:val="nil"/>
              <w:bottom w:val="nil"/>
              <w:right w:val="nil"/>
            </w:tcBorders>
            <w:noWrap/>
            <w:vAlign w:val="bottom"/>
            <w:hideMark/>
          </w:tcPr>
          <w:p w:rsidR="00685259" w:rsidRPr="00932F66" w:rsidRDefault="00685259" w:rsidP="00C90243">
            <w:pPr>
              <w:spacing w:line="276" w:lineRule="auto"/>
              <w:ind w:firstLine="709"/>
              <w:rPr>
                <w:rFonts w:ascii="Arial CYR" w:hAnsi="Arial CYR" w:cs="Arial CY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797"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225"/>
        </w:trPr>
        <w:tc>
          <w:tcPr>
            <w:tcW w:w="2354" w:type="dxa"/>
            <w:tcBorders>
              <w:top w:val="nil"/>
              <w:left w:val="single" w:sz="4" w:space="0" w:color="auto"/>
              <w:bottom w:val="single" w:sz="4" w:space="0" w:color="auto"/>
              <w:right w:val="single" w:sz="4" w:space="0" w:color="auto"/>
            </w:tcBorders>
            <w:vAlign w:val="bottom"/>
            <w:hideMark/>
          </w:tcPr>
          <w:p w:rsidR="00685259" w:rsidRPr="00932F66" w:rsidRDefault="00685259" w:rsidP="00C90243">
            <w:pPr>
              <w:spacing w:line="276" w:lineRule="auto"/>
              <w:ind w:firstLine="709"/>
              <w:jc w:val="center"/>
              <w:rPr>
                <w:b/>
                <w:bCs/>
                <w:sz w:val="16"/>
                <w:szCs w:val="16"/>
                <w:lang w:val="uk-UA"/>
              </w:rPr>
            </w:pPr>
            <w:r w:rsidRPr="00932F66">
              <w:rPr>
                <w:b/>
                <w:bCs/>
                <w:sz w:val="16"/>
                <w:szCs w:val="16"/>
                <w:lang w:val="uk-UA"/>
              </w:rPr>
              <w:t>А</w:t>
            </w:r>
          </w:p>
        </w:tc>
        <w:tc>
          <w:tcPr>
            <w:tcW w:w="793" w:type="dxa"/>
            <w:tcBorders>
              <w:top w:val="nil"/>
              <w:left w:val="nil"/>
              <w:bottom w:val="single" w:sz="4" w:space="0" w:color="auto"/>
              <w:right w:val="single" w:sz="4" w:space="0" w:color="auto"/>
            </w:tcBorders>
            <w:vAlign w:val="bottom"/>
            <w:hideMark/>
          </w:tcPr>
          <w:p w:rsidR="00685259" w:rsidRPr="00932F66" w:rsidRDefault="00685259" w:rsidP="00C90243">
            <w:pPr>
              <w:spacing w:line="276" w:lineRule="auto"/>
              <w:ind w:firstLine="709"/>
              <w:jc w:val="center"/>
              <w:rPr>
                <w:b/>
                <w:bCs/>
                <w:sz w:val="16"/>
                <w:szCs w:val="16"/>
                <w:lang w:val="uk-UA"/>
              </w:rPr>
            </w:pPr>
            <w:r w:rsidRPr="00932F66">
              <w:rPr>
                <w:b/>
                <w:bCs/>
                <w:sz w:val="16"/>
                <w:szCs w:val="16"/>
                <w:lang w:val="uk-UA"/>
              </w:rPr>
              <w:t>1</w:t>
            </w:r>
          </w:p>
        </w:tc>
        <w:tc>
          <w:tcPr>
            <w:tcW w:w="789" w:type="dxa"/>
            <w:tcBorders>
              <w:top w:val="nil"/>
              <w:left w:val="nil"/>
              <w:bottom w:val="single" w:sz="4" w:space="0" w:color="auto"/>
              <w:right w:val="single" w:sz="4" w:space="0" w:color="auto"/>
            </w:tcBorders>
            <w:vAlign w:val="bottom"/>
          </w:tcPr>
          <w:p w:rsidR="00685259" w:rsidRPr="00932F66" w:rsidRDefault="00685259" w:rsidP="00C90243">
            <w:pPr>
              <w:spacing w:line="276" w:lineRule="auto"/>
              <w:ind w:firstLine="709"/>
              <w:jc w:val="center"/>
              <w:rPr>
                <w:b/>
                <w:bCs/>
                <w:sz w:val="16"/>
                <w:szCs w:val="16"/>
                <w:lang w:val="uk-UA"/>
              </w:rPr>
            </w:pPr>
          </w:p>
        </w:tc>
        <w:tc>
          <w:tcPr>
            <w:tcW w:w="975" w:type="dxa"/>
            <w:tcBorders>
              <w:top w:val="nil"/>
              <w:left w:val="nil"/>
              <w:bottom w:val="single" w:sz="4" w:space="0" w:color="auto"/>
              <w:right w:val="single" w:sz="4" w:space="0" w:color="auto"/>
            </w:tcBorders>
            <w:vAlign w:val="bottom"/>
            <w:hideMark/>
          </w:tcPr>
          <w:p w:rsidR="00685259" w:rsidRPr="00932F66" w:rsidRDefault="00685259" w:rsidP="00C90243">
            <w:pPr>
              <w:spacing w:line="276" w:lineRule="auto"/>
              <w:ind w:firstLine="709"/>
              <w:jc w:val="center"/>
              <w:rPr>
                <w:b/>
                <w:bCs/>
                <w:sz w:val="16"/>
                <w:szCs w:val="16"/>
                <w:lang w:val="uk-UA"/>
              </w:rPr>
            </w:pPr>
            <w:r w:rsidRPr="00932F66">
              <w:rPr>
                <w:b/>
                <w:bCs/>
                <w:sz w:val="16"/>
                <w:szCs w:val="16"/>
                <w:lang w:val="uk-UA"/>
              </w:rPr>
              <w:t>2</w:t>
            </w:r>
          </w:p>
        </w:tc>
        <w:tc>
          <w:tcPr>
            <w:tcW w:w="952" w:type="dxa"/>
            <w:tcBorders>
              <w:top w:val="nil"/>
              <w:left w:val="nil"/>
              <w:bottom w:val="single" w:sz="4" w:space="0" w:color="auto"/>
              <w:right w:val="single" w:sz="4" w:space="0" w:color="auto"/>
            </w:tcBorders>
            <w:vAlign w:val="bottom"/>
          </w:tcPr>
          <w:p w:rsidR="00685259" w:rsidRPr="00932F66" w:rsidRDefault="00685259" w:rsidP="00C90243">
            <w:pPr>
              <w:spacing w:line="276" w:lineRule="auto"/>
              <w:ind w:firstLine="709"/>
              <w:jc w:val="center"/>
              <w:rPr>
                <w:b/>
                <w:bCs/>
                <w:sz w:val="16"/>
                <w:szCs w:val="16"/>
                <w:lang w:val="uk-UA"/>
              </w:rPr>
            </w:pPr>
          </w:p>
        </w:tc>
        <w:tc>
          <w:tcPr>
            <w:tcW w:w="781" w:type="dxa"/>
            <w:tcBorders>
              <w:top w:val="nil"/>
              <w:left w:val="nil"/>
              <w:bottom w:val="single" w:sz="4" w:space="0" w:color="auto"/>
              <w:right w:val="single" w:sz="4" w:space="0" w:color="auto"/>
            </w:tcBorders>
            <w:vAlign w:val="bottom"/>
            <w:hideMark/>
          </w:tcPr>
          <w:p w:rsidR="00685259" w:rsidRPr="00932F66" w:rsidRDefault="00685259" w:rsidP="00C90243">
            <w:pPr>
              <w:spacing w:line="276" w:lineRule="auto"/>
              <w:ind w:firstLine="709"/>
              <w:jc w:val="center"/>
              <w:rPr>
                <w:b/>
                <w:bCs/>
                <w:sz w:val="16"/>
                <w:szCs w:val="16"/>
                <w:lang w:val="uk-UA"/>
              </w:rPr>
            </w:pPr>
            <w:r w:rsidRPr="00932F66">
              <w:rPr>
                <w:b/>
                <w:bCs/>
                <w:sz w:val="16"/>
                <w:szCs w:val="16"/>
                <w:lang w:val="uk-UA"/>
              </w:rPr>
              <w:t>3</w:t>
            </w:r>
          </w:p>
        </w:tc>
        <w:tc>
          <w:tcPr>
            <w:tcW w:w="781" w:type="dxa"/>
            <w:tcBorders>
              <w:top w:val="nil"/>
              <w:left w:val="nil"/>
              <w:bottom w:val="single" w:sz="4" w:space="0" w:color="auto"/>
              <w:right w:val="single" w:sz="4" w:space="0" w:color="auto"/>
            </w:tcBorders>
            <w:vAlign w:val="bottom"/>
          </w:tcPr>
          <w:p w:rsidR="00685259" w:rsidRPr="00932F66" w:rsidRDefault="00685259" w:rsidP="00C90243">
            <w:pPr>
              <w:spacing w:line="276" w:lineRule="auto"/>
              <w:ind w:firstLine="709"/>
              <w:jc w:val="center"/>
              <w:rPr>
                <w:b/>
                <w:bCs/>
                <w:sz w:val="16"/>
                <w:szCs w:val="16"/>
                <w:lang w:val="uk-UA"/>
              </w:rPr>
            </w:pPr>
          </w:p>
        </w:tc>
        <w:tc>
          <w:tcPr>
            <w:tcW w:w="905" w:type="dxa"/>
            <w:tcBorders>
              <w:top w:val="nil"/>
              <w:left w:val="nil"/>
              <w:bottom w:val="single" w:sz="4" w:space="0" w:color="auto"/>
              <w:right w:val="single" w:sz="4" w:space="0" w:color="auto"/>
            </w:tcBorders>
            <w:vAlign w:val="bottom"/>
            <w:hideMark/>
          </w:tcPr>
          <w:p w:rsidR="00685259" w:rsidRPr="00932F66" w:rsidRDefault="00685259" w:rsidP="00C90243">
            <w:pPr>
              <w:spacing w:line="276" w:lineRule="auto"/>
              <w:ind w:firstLine="709"/>
              <w:jc w:val="center"/>
              <w:rPr>
                <w:b/>
                <w:bCs/>
                <w:sz w:val="16"/>
                <w:szCs w:val="16"/>
                <w:lang w:val="uk-UA"/>
              </w:rPr>
            </w:pPr>
            <w:r w:rsidRPr="00932F66">
              <w:rPr>
                <w:b/>
                <w:bCs/>
                <w:sz w:val="16"/>
                <w:szCs w:val="16"/>
                <w:lang w:val="uk-UA"/>
              </w:rPr>
              <w:t>4</w:t>
            </w:r>
          </w:p>
        </w:tc>
        <w:tc>
          <w:tcPr>
            <w:tcW w:w="894" w:type="dxa"/>
            <w:tcBorders>
              <w:top w:val="nil"/>
              <w:left w:val="nil"/>
              <w:bottom w:val="single" w:sz="4" w:space="0" w:color="auto"/>
              <w:right w:val="single" w:sz="4" w:space="0" w:color="auto"/>
            </w:tcBorders>
            <w:vAlign w:val="bottom"/>
          </w:tcPr>
          <w:p w:rsidR="00685259" w:rsidRPr="00932F66" w:rsidRDefault="00685259" w:rsidP="00C90243">
            <w:pPr>
              <w:spacing w:line="276" w:lineRule="auto"/>
              <w:ind w:firstLine="709"/>
              <w:jc w:val="center"/>
              <w:rPr>
                <w:b/>
                <w:bCs/>
                <w:sz w:val="16"/>
                <w:szCs w:val="16"/>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797"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480"/>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3E6DBA">
            <w:pPr>
              <w:spacing w:line="276" w:lineRule="auto"/>
              <w:ind w:firstLine="33"/>
              <w:jc w:val="center"/>
              <w:rPr>
                <w:b/>
                <w:bCs/>
                <w:lang w:val="uk-UA"/>
              </w:rPr>
            </w:pPr>
            <w:r w:rsidRPr="00932F66">
              <w:rPr>
                <w:b/>
                <w:bCs/>
                <w:lang w:val="uk-UA"/>
              </w:rPr>
              <w:t>ВОЛИНСЬКА</w:t>
            </w:r>
          </w:p>
        </w:tc>
        <w:tc>
          <w:tcPr>
            <w:tcW w:w="793"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45</w:t>
            </w:r>
          </w:p>
        </w:tc>
        <w:tc>
          <w:tcPr>
            <w:tcW w:w="789" w:type="dxa"/>
            <w:tcBorders>
              <w:top w:val="nil"/>
              <w:left w:val="nil"/>
              <w:bottom w:val="single" w:sz="4" w:space="0" w:color="auto"/>
              <w:right w:val="single" w:sz="4" w:space="0" w:color="auto"/>
            </w:tcBorders>
            <w:shd w:val="clear" w:color="000000" w:fill="FFFF00"/>
            <w:vAlign w:val="center"/>
          </w:tcPr>
          <w:p w:rsidR="00685259" w:rsidRPr="00932F66" w:rsidRDefault="00685259" w:rsidP="003E6DBA">
            <w:pPr>
              <w:spacing w:line="276" w:lineRule="auto"/>
              <w:ind w:left="-759" w:right="-76" w:firstLine="709"/>
              <w:jc w:val="center"/>
              <w:rPr>
                <w:b/>
                <w:bCs/>
                <w:lang w:val="uk-UA"/>
              </w:rPr>
            </w:pPr>
          </w:p>
        </w:tc>
        <w:tc>
          <w:tcPr>
            <w:tcW w:w="975"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9,09%</w:t>
            </w:r>
          </w:p>
        </w:tc>
        <w:tc>
          <w:tcPr>
            <w:tcW w:w="952" w:type="dxa"/>
            <w:tcBorders>
              <w:top w:val="nil"/>
              <w:left w:val="nil"/>
              <w:bottom w:val="single" w:sz="4" w:space="0" w:color="auto"/>
              <w:right w:val="single" w:sz="4" w:space="0" w:color="auto"/>
            </w:tcBorders>
            <w:shd w:val="clear" w:color="000000" w:fill="FFFF00"/>
            <w:vAlign w:val="center"/>
          </w:tcPr>
          <w:p w:rsidR="00685259" w:rsidRPr="00932F66" w:rsidRDefault="00685259" w:rsidP="003E6DBA">
            <w:pPr>
              <w:spacing w:line="276" w:lineRule="auto"/>
              <w:ind w:left="-759" w:right="-76" w:firstLine="709"/>
              <w:jc w:val="center"/>
              <w:rPr>
                <w:b/>
                <w:bCs/>
                <w:lang w:val="uk-UA"/>
              </w:rPr>
            </w:pPr>
          </w:p>
        </w:tc>
        <w:tc>
          <w:tcPr>
            <w:tcW w:w="781"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22</w:t>
            </w: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3E6DBA">
            <w:pPr>
              <w:spacing w:line="276" w:lineRule="auto"/>
              <w:ind w:left="-759" w:right="-76" w:firstLine="709"/>
              <w:jc w:val="center"/>
              <w:rPr>
                <w:b/>
                <w:bCs/>
                <w:lang w:val="uk-UA"/>
              </w:rPr>
            </w:pPr>
          </w:p>
        </w:tc>
        <w:tc>
          <w:tcPr>
            <w:tcW w:w="905"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48,8%</w:t>
            </w:r>
          </w:p>
        </w:tc>
        <w:tc>
          <w:tcPr>
            <w:tcW w:w="894" w:type="dxa"/>
            <w:tcBorders>
              <w:top w:val="nil"/>
              <w:left w:val="nil"/>
              <w:bottom w:val="single" w:sz="4" w:space="0" w:color="auto"/>
              <w:right w:val="single" w:sz="4" w:space="0" w:color="auto"/>
            </w:tcBorders>
            <w:shd w:val="clear" w:color="000000" w:fill="FFFF00"/>
            <w:vAlign w:val="center"/>
          </w:tcPr>
          <w:p w:rsidR="00685259" w:rsidRPr="00932F66" w:rsidRDefault="00685259" w:rsidP="003E6DBA">
            <w:pPr>
              <w:spacing w:line="276" w:lineRule="auto"/>
              <w:ind w:left="-759" w:right="-76" w:firstLine="709"/>
              <w:jc w:val="center"/>
              <w:rPr>
                <w:b/>
                <w:bCs/>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797"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405"/>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3E6DBA">
            <w:pPr>
              <w:spacing w:line="276" w:lineRule="auto"/>
              <w:ind w:firstLine="33"/>
              <w:jc w:val="center"/>
              <w:rPr>
                <w:b/>
                <w:bCs/>
                <w:lang w:val="uk-UA"/>
              </w:rPr>
            </w:pPr>
            <w:r w:rsidRPr="00932F66">
              <w:rPr>
                <w:b/>
                <w:bCs/>
                <w:lang w:val="uk-UA"/>
              </w:rPr>
              <w:t>ЗАКАРПАТСЬКА</w:t>
            </w:r>
          </w:p>
        </w:tc>
        <w:tc>
          <w:tcPr>
            <w:tcW w:w="793" w:type="dxa"/>
            <w:tcBorders>
              <w:top w:val="nil"/>
              <w:left w:val="nil"/>
              <w:bottom w:val="single" w:sz="4" w:space="0" w:color="auto"/>
              <w:right w:val="single" w:sz="4" w:space="0" w:color="auto"/>
            </w:tcBorders>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75</w:t>
            </w:r>
          </w:p>
        </w:tc>
        <w:tc>
          <w:tcPr>
            <w:tcW w:w="789" w:type="dxa"/>
            <w:tcBorders>
              <w:top w:val="nil"/>
              <w:left w:val="nil"/>
              <w:bottom w:val="single" w:sz="4" w:space="0" w:color="auto"/>
              <w:right w:val="single" w:sz="4" w:space="0" w:color="auto"/>
            </w:tcBorders>
            <w:vAlign w:val="center"/>
          </w:tcPr>
          <w:p w:rsidR="00685259" w:rsidRPr="00932F66" w:rsidRDefault="00685259" w:rsidP="003E6DBA">
            <w:pPr>
              <w:spacing w:line="276" w:lineRule="auto"/>
              <w:ind w:left="-759" w:right="-76" w:firstLine="709"/>
              <w:jc w:val="center"/>
              <w:rPr>
                <w:b/>
                <w:bCs/>
                <w:lang w:val="uk-UA"/>
              </w:rPr>
            </w:pPr>
          </w:p>
        </w:tc>
        <w:tc>
          <w:tcPr>
            <w:tcW w:w="975" w:type="dxa"/>
            <w:tcBorders>
              <w:top w:val="nil"/>
              <w:left w:val="nil"/>
              <w:bottom w:val="single" w:sz="4" w:space="0" w:color="auto"/>
              <w:right w:val="single" w:sz="4" w:space="0" w:color="auto"/>
            </w:tcBorders>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15,15%</w:t>
            </w:r>
          </w:p>
        </w:tc>
        <w:tc>
          <w:tcPr>
            <w:tcW w:w="952" w:type="dxa"/>
            <w:tcBorders>
              <w:top w:val="nil"/>
              <w:left w:val="nil"/>
              <w:bottom w:val="single" w:sz="4" w:space="0" w:color="auto"/>
              <w:right w:val="single" w:sz="4" w:space="0" w:color="auto"/>
            </w:tcBorders>
            <w:vAlign w:val="center"/>
          </w:tcPr>
          <w:p w:rsidR="00685259" w:rsidRPr="00932F66" w:rsidRDefault="00685259" w:rsidP="003E6DBA">
            <w:pPr>
              <w:spacing w:line="276" w:lineRule="auto"/>
              <w:ind w:left="-759" w:right="-76" w:firstLine="709"/>
              <w:jc w:val="center"/>
              <w:rPr>
                <w:b/>
                <w:bCs/>
                <w:lang w:val="uk-UA"/>
              </w:rPr>
            </w:pPr>
          </w:p>
        </w:tc>
        <w:tc>
          <w:tcPr>
            <w:tcW w:w="781" w:type="dxa"/>
            <w:tcBorders>
              <w:top w:val="nil"/>
              <w:left w:val="nil"/>
              <w:bottom w:val="single" w:sz="4" w:space="0" w:color="auto"/>
              <w:right w:val="single" w:sz="4" w:space="0" w:color="auto"/>
            </w:tcBorders>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32</w:t>
            </w:r>
          </w:p>
        </w:tc>
        <w:tc>
          <w:tcPr>
            <w:tcW w:w="781" w:type="dxa"/>
            <w:tcBorders>
              <w:top w:val="nil"/>
              <w:left w:val="nil"/>
              <w:bottom w:val="single" w:sz="4" w:space="0" w:color="auto"/>
              <w:right w:val="single" w:sz="4" w:space="0" w:color="auto"/>
            </w:tcBorders>
            <w:vAlign w:val="center"/>
          </w:tcPr>
          <w:p w:rsidR="00685259" w:rsidRPr="00932F66" w:rsidRDefault="00685259" w:rsidP="003E6DBA">
            <w:pPr>
              <w:spacing w:line="276" w:lineRule="auto"/>
              <w:ind w:left="-759" w:right="-76" w:firstLine="709"/>
              <w:jc w:val="center"/>
              <w:rPr>
                <w:b/>
                <w:bCs/>
                <w:lang w:val="uk-UA"/>
              </w:rPr>
            </w:pPr>
          </w:p>
        </w:tc>
        <w:tc>
          <w:tcPr>
            <w:tcW w:w="905" w:type="dxa"/>
            <w:tcBorders>
              <w:top w:val="nil"/>
              <w:left w:val="nil"/>
              <w:bottom w:val="single" w:sz="4" w:space="0" w:color="auto"/>
              <w:right w:val="single" w:sz="4" w:space="0" w:color="auto"/>
            </w:tcBorders>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42,6%</w:t>
            </w:r>
          </w:p>
        </w:tc>
        <w:tc>
          <w:tcPr>
            <w:tcW w:w="894" w:type="dxa"/>
            <w:tcBorders>
              <w:top w:val="nil"/>
              <w:left w:val="nil"/>
              <w:bottom w:val="single" w:sz="4" w:space="0" w:color="auto"/>
              <w:right w:val="single" w:sz="4" w:space="0" w:color="auto"/>
            </w:tcBorders>
            <w:vAlign w:val="center"/>
          </w:tcPr>
          <w:p w:rsidR="00685259" w:rsidRPr="00932F66" w:rsidRDefault="00685259" w:rsidP="003E6DBA">
            <w:pPr>
              <w:spacing w:line="276" w:lineRule="auto"/>
              <w:ind w:left="-759" w:right="-76" w:firstLine="709"/>
              <w:jc w:val="center"/>
              <w:rPr>
                <w:b/>
                <w:bCs/>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797"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675"/>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3E6DBA">
            <w:pPr>
              <w:spacing w:line="276" w:lineRule="auto"/>
              <w:ind w:firstLine="33"/>
              <w:jc w:val="center"/>
              <w:rPr>
                <w:b/>
                <w:bCs/>
                <w:lang w:val="uk-UA"/>
              </w:rPr>
            </w:pPr>
            <w:r w:rsidRPr="00932F66">
              <w:rPr>
                <w:b/>
                <w:bCs/>
                <w:lang w:val="uk-UA"/>
              </w:rPr>
              <w:t>ІВАНО-ФРАНКІВСЬКА</w:t>
            </w:r>
          </w:p>
        </w:tc>
        <w:tc>
          <w:tcPr>
            <w:tcW w:w="793"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85</w:t>
            </w:r>
          </w:p>
        </w:tc>
        <w:tc>
          <w:tcPr>
            <w:tcW w:w="789" w:type="dxa"/>
            <w:tcBorders>
              <w:top w:val="nil"/>
              <w:left w:val="nil"/>
              <w:bottom w:val="single" w:sz="4" w:space="0" w:color="auto"/>
              <w:right w:val="single" w:sz="4" w:space="0" w:color="auto"/>
            </w:tcBorders>
            <w:shd w:val="clear" w:color="000000" w:fill="FFFF00"/>
            <w:vAlign w:val="center"/>
          </w:tcPr>
          <w:p w:rsidR="00685259" w:rsidRPr="00932F66" w:rsidRDefault="00685259" w:rsidP="003E6DBA">
            <w:pPr>
              <w:spacing w:line="276" w:lineRule="auto"/>
              <w:ind w:left="-759" w:right="-76" w:firstLine="709"/>
              <w:jc w:val="center"/>
              <w:rPr>
                <w:b/>
                <w:bCs/>
                <w:lang w:val="uk-UA"/>
              </w:rPr>
            </w:pPr>
          </w:p>
        </w:tc>
        <w:tc>
          <w:tcPr>
            <w:tcW w:w="975"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17,17%</w:t>
            </w:r>
          </w:p>
        </w:tc>
        <w:tc>
          <w:tcPr>
            <w:tcW w:w="952" w:type="dxa"/>
            <w:tcBorders>
              <w:top w:val="nil"/>
              <w:left w:val="nil"/>
              <w:bottom w:val="single" w:sz="4" w:space="0" w:color="auto"/>
              <w:right w:val="single" w:sz="4" w:space="0" w:color="auto"/>
            </w:tcBorders>
            <w:shd w:val="clear" w:color="000000" w:fill="FFFF00"/>
            <w:vAlign w:val="center"/>
          </w:tcPr>
          <w:p w:rsidR="00685259" w:rsidRPr="00932F66" w:rsidRDefault="00685259" w:rsidP="003E6DBA">
            <w:pPr>
              <w:spacing w:line="276" w:lineRule="auto"/>
              <w:ind w:left="-759" w:right="-76" w:firstLine="709"/>
              <w:jc w:val="center"/>
              <w:rPr>
                <w:b/>
                <w:bCs/>
                <w:lang w:val="uk-UA"/>
              </w:rPr>
            </w:pPr>
          </w:p>
        </w:tc>
        <w:tc>
          <w:tcPr>
            <w:tcW w:w="781"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28</w:t>
            </w: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3E6DBA">
            <w:pPr>
              <w:spacing w:line="276" w:lineRule="auto"/>
              <w:ind w:left="-759" w:right="-76" w:firstLine="709"/>
              <w:jc w:val="center"/>
              <w:rPr>
                <w:b/>
                <w:bCs/>
                <w:lang w:val="uk-UA"/>
              </w:rPr>
            </w:pPr>
          </w:p>
        </w:tc>
        <w:tc>
          <w:tcPr>
            <w:tcW w:w="905"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32,9%</w:t>
            </w:r>
          </w:p>
        </w:tc>
        <w:tc>
          <w:tcPr>
            <w:tcW w:w="894" w:type="dxa"/>
            <w:tcBorders>
              <w:top w:val="nil"/>
              <w:left w:val="nil"/>
              <w:bottom w:val="single" w:sz="4" w:space="0" w:color="auto"/>
              <w:right w:val="single" w:sz="4" w:space="0" w:color="auto"/>
            </w:tcBorders>
            <w:shd w:val="clear" w:color="000000" w:fill="FFFF00"/>
            <w:vAlign w:val="center"/>
          </w:tcPr>
          <w:p w:rsidR="00685259" w:rsidRPr="00932F66" w:rsidRDefault="00685259" w:rsidP="003E6DBA">
            <w:pPr>
              <w:spacing w:line="276" w:lineRule="auto"/>
              <w:ind w:left="-759" w:right="-76" w:firstLine="709"/>
              <w:jc w:val="center"/>
              <w:rPr>
                <w:b/>
                <w:bCs/>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797"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480"/>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3E6DBA">
            <w:pPr>
              <w:spacing w:line="276" w:lineRule="auto"/>
              <w:ind w:firstLine="33"/>
              <w:jc w:val="center"/>
              <w:rPr>
                <w:b/>
                <w:bCs/>
                <w:lang w:val="uk-UA"/>
              </w:rPr>
            </w:pPr>
            <w:r w:rsidRPr="00932F66">
              <w:rPr>
                <w:b/>
                <w:bCs/>
                <w:lang w:val="uk-UA"/>
              </w:rPr>
              <w:t>ЛЬВІВСЬКА</w:t>
            </w:r>
          </w:p>
        </w:tc>
        <w:tc>
          <w:tcPr>
            <w:tcW w:w="793" w:type="dxa"/>
            <w:tcBorders>
              <w:top w:val="nil"/>
              <w:left w:val="nil"/>
              <w:bottom w:val="single" w:sz="4" w:space="0" w:color="auto"/>
              <w:right w:val="single" w:sz="4" w:space="0" w:color="auto"/>
            </w:tcBorders>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235</w:t>
            </w:r>
          </w:p>
        </w:tc>
        <w:tc>
          <w:tcPr>
            <w:tcW w:w="789" w:type="dxa"/>
            <w:tcBorders>
              <w:top w:val="nil"/>
              <w:left w:val="nil"/>
              <w:bottom w:val="single" w:sz="4" w:space="0" w:color="auto"/>
              <w:right w:val="single" w:sz="4" w:space="0" w:color="auto"/>
            </w:tcBorders>
            <w:vAlign w:val="center"/>
          </w:tcPr>
          <w:p w:rsidR="00685259" w:rsidRPr="00932F66" w:rsidRDefault="00685259" w:rsidP="003E6DBA">
            <w:pPr>
              <w:spacing w:line="276" w:lineRule="auto"/>
              <w:ind w:left="-759" w:right="-76" w:firstLine="709"/>
              <w:jc w:val="center"/>
              <w:rPr>
                <w:b/>
                <w:bCs/>
                <w:lang w:val="uk-UA"/>
              </w:rPr>
            </w:pPr>
          </w:p>
        </w:tc>
        <w:tc>
          <w:tcPr>
            <w:tcW w:w="975" w:type="dxa"/>
            <w:tcBorders>
              <w:top w:val="nil"/>
              <w:left w:val="nil"/>
              <w:bottom w:val="single" w:sz="4" w:space="0" w:color="auto"/>
              <w:right w:val="single" w:sz="4" w:space="0" w:color="auto"/>
            </w:tcBorders>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47,47%</w:t>
            </w:r>
          </w:p>
        </w:tc>
        <w:tc>
          <w:tcPr>
            <w:tcW w:w="952" w:type="dxa"/>
            <w:tcBorders>
              <w:top w:val="nil"/>
              <w:left w:val="nil"/>
              <w:bottom w:val="single" w:sz="4" w:space="0" w:color="auto"/>
              <w:right w:val="single" w:sz="4" w:space="0" w:color="auto"/>
            </w:tcBorders>
            <w:vAlign w:val="center"/>
          </w:tcPr>
          <w:p w:rsidR="00685259" w:rsidRPr="00932F66" w:rsidRDefault="00685259" w:rsidP="003E6DBA">
            <w:pPr>
              <w:spacing w:line="276" w:lineRule="auto"/>
              <w:ind w:left="-759" w:right="-76" w:firstLine="709"/>
              <w:jc w:val="center"/>
              <w:rPr>
                <w:b/>
                <w:bCs/>
                <w:lang w:val="uk-UA"/>
              </w:rPr>
            </w:pPr>
          </w:p>
        </w:tc>
        <w:tc>
          <w:tcPr>
            <w:tcW w:w="781" w:type="dxa"/>
            <w:tcBorders>
              <w:top w:val="nil"/>
              <w:left w:val="nil"/>
              <w:bottom w:val="single" w:sz="4" w:space="0" w:color="auto"/>
              <w:right w:val="single" w:sz="4" w:space="0" w:color="auto"/>
            </w:tcBorders>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104</w:t>
            </w:r>
          </w:p>
        </w:tc>
        <w:tc>
          <w:tcPr>
            <w:tcW w:w="781" w:type="dxa"/>
            <w:tcBorders>
              <w:top w:val="nil"/>
              <w:left w:val="nil"/>
              <w:bottom w:val="single" w:sz="4" w:space="0" w:color="auto"/>
              <w:right w:val="single" w:sz="4" w:space="0" w:color="auto"/>
            </w:tcBorders>
            <w:vAlign w:val="center"/>
          </w:tcPr>
          <w:p w:rsidR="00685259" w:rsidRPr="00932F66" w:rsidRDefault="00685259" w:rsidP="003E6DBA">
            <w:pPr>
              <w:spacing w:line="276" w:lineRule="auto"/>
              <w:ind w:left="-759" w:right="-76" w:firstLine="709"/>
              <w:jc w:val="center"/>
              <w:rPr>
                <w:b/>
                <w:bCs/>
                <w:lang w:val="uk-UA"/>
              </w:rPr>
            </w:pPr>
          </w:p>
        </w:tc>
        <w:tc>
          <w:tcPr>
            <w:tcW w:w="905" w:type="dxa"/>
            <w:tcBorders>
              <w:top w:val="nil"/>
              <w:left w:val="nil"/>
              <w:bottom w:val="single" w:sz="4" w:space="0" w:color="auto"/>
              <w:right w:val="single" w:sz="4" w:space="0" w:color="auto"/>
            </w:tcBorders>
            <w:vAlign w:val="center"/>
            <w:hideMark/>
          </w:tcPr>
          <w:p w:rsidR="00685259" w:rsidRPr="00932F66" w:rsidRDefault="00685259" w:rsidP="003E6DBA">
            <w:pPr>
              <w:spacing w:line="276" w:lineRule="auto"/>
              <w:ind w:left="-759" w:right="-76" w:firstLine="709"/>
              <w:jc w:val="center"/>
              <w:rPr>
                <w:b/>
                <w:bCs/>
                <w:lang w:val="uk-UA"/>
              </w:rPr>
            </w:pPr>
            <w:r w:rsidRPr="00932F66">
              <w:rPr>
                <w:b/>
                <w:bCs/>
                <w:lang w:val="uk-UA"/>
              </w:rPr>
              <w:t>44,25%</w:t>
            </w:r>
          </w:p>
        </w:tc>
        <w:tc>
          <w:tcPr>
            <w:tcW w:w="894" w:type="dxa"/>
            <w:tcBorders>
              <w:top w:val="nil"/>
              <w:left w:val="nil"/>
              <w:bottom w:val="single" w:sz="4" w:space="0" w:color="auto"/>
              <w:right w:val="single" w:sz="4" w:space="0" w:color="auto"/>
            </w:tcBorders>
            <w:vAlign w:val="center"/>
          </w:tcPr>
          <w:p w:rsidR="00685259" w:rsidRPr="00932F66" w:rsidRDefault="00685259" w:rsidP="003E6DBA">
            <w:pPr>
              <w:spacing w:line="276" w:lineRule="auto"/>
              <w:ind w:left="-759" w:right="-76" w:firstLine="709"/>
              <w:jc w:val="center"/>
              <w:rPr>
                <w:b/>
                <w:bCs/>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797"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435"/>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3E6DBA">
            <w:pPr>
              <w:spacing w:line="276" w:lineRule="auto"/>
              <w:ind w:left="-109" w:right="-168" w:firstLine="33"/>
              <w:jc w:val="center"/>
              <w:rPr>
                <w:b/>
                <w:bCs/>
                <w:lang w:val="uk-UA"/>
              </w:rPr>
            </w:pPr>
            <w:r w:rsidRPr="00932F66">
              <w:rPr>
                <w:b/>
                <w:bCs/>
                <w:lang w:val="uk-UA"/>
              </w:rPr>
              <w:t>ТЕРНОПІЛЬСЬКА</w:t>
            </w:r>
          </w:p>
        </w:tc>
        <w:tc>
          <w:tcPr>
            <w:tcW w:w="793"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50" w:right="-76" w:firstLine="759"/>
              <w:jc w:val="center"/>
              <w:rPr>
                <w:b/>
                <w:bCs/>
                <w:lang w:val="uk-UA"/>
              </w:rPr>
            </w:pPr>
            <w:r w:rsidRPr="00932F66">
              <w:rPr>
                <w:b/>
                <w:bCs/>
                <w:lang w:val="uk-UA"/>
              </w:rPr>
              <w:t>55</w:t>
            </w:r>
          </w:p>
        </w:tc>
        <w:tc>
          <w:tcPr>
            <w:tcW w:w="789" w:type="dxa"/>
            <w:tcBorders>
              <w:top w:val="nil"/>
              <w:left w:val="nil"/>
              <w:bottom w:val="single" w:sz="4" w:space="0" w:color="auto"/>
              <w:right w:val="single" w:sz="4" w:space="0" w:color="auto"/>
            </w:tcBorders>
            <w:shd w:val="clear" w:color="000000" w:fill="FFFF00"/>
            <w:vAlign w:val="center"/>
          </w:tcPr>
          <w:p w:rsidR="00685259" w:rsidRPr="00932F66" w:rsidRDefault="00685259" w:rsidP="003E6DBA">
            <w:pPr>
              <w:spacing w:line="276" w:lineRule="auto"/>
              <w:ind w:left="-50" w:right="-76" w:firstLine="759"/>
              <w:jc w:val="center"/>
              <w:rPr>
                <w:b/>
                <w:bCs/>
                <w:lang w:val="uk-UA"/>
              </w:rPr>
            </w:pPr>
          </w:p>
        </w:tc>
        <w:tc>
          <w:tcPr>
            <w:tcW w:w="975"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788" w:right="-76" w:firstLine="755"/>
              <w:jc w:val="center"/>
              <w:rPr>
                <w:b/>
                <w:bCs/>
                <w:lang w:val="uk-UA"/>
              </w:rPr>
            </w:pPr>
            <w:r w:rsidRPr="00932F66">
              <w:rPr>
                <w:b/>
                <w:bCs/>
                <w:lang w:val="uk-UA"/>
              </w:rPr>
              <w:t>11,12%</w:t>
            </w:r>
          </w:p>
        </w:tc>
        <w:tc>
          <w:tcPr>
            <w:tcW w:w="952" w:type="dxa"/>
            <w:tcBorders>
              <w:top w:val="nil"/>
              <w:left w:val="nil"/>
              <w:bottom w:val="single" w:sz="4" w:space="0" w:color="auto"/>
              <w:right w:val="single" w:sz="4" w:space="0" w:color="auto"/>
            </w:tcBorders>
            <w:shd w:val="clear" w:color="000000" w:fill="FFFF00"/>
            <w:vAlign w:val="center"/>
          </w:tcPr>
          <w:p w:rsidR="00685259" w:rsidRPr="00932F66" w:rsidRDefault="00685259" w:rsidP="003E6DBA">
            <w:pPr>
              <w:spacing w:line="276" w:lineRule="auto"/>
              <w:ind w:left="-50" w:right="-76" w:firstLine="759"/>
              <w:jc w:val="center"/>
              <w:rPr>
                <w:b/>
                <w:bCs/>
                <w:lang w:val="uk-UA"/>
              </w:rPr>
            </w:pPr>
          </w:p>
        </w:tc>
        <w:tc>
          <w:tcPr>
            <w:tcW w:w="781"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50" w:right="-76" w:firstLine="759"/>
              <w:jc w:val="center"/>
              <w:rPr>
                <w:b/>
                <w:bCs/>
                <w:lang w:val="uk-UA"/>
              </w:rPr>
            </w:pPr>
            <w:r w:rsidRPr="00932F66">
              <w:rPr>
                <w:b/>
                <w:bCs/>
                <w:lang w:val="uk-UA"/>
              </w:rPr>
              <w:t>23</w:t>
            </w:r>
          </w:p>
        </w:tc>
        <w:tc>
          <w:tcPr>
            <w:tcW w:w="781" w:type="dxa"/>
            <w:tcBorders>
              <w:top w:val="nil"/>
              <w:left w:val="nil"/>
              <w:bottom w:val="single" w:sz="4" w:space="0" w:color="auto"/>
              <w:right w:val="single" w:sz="4" w:space="0" w:color="auto"/>
            </w:tcBorders>
            <w:shd w:val="clear" w:color="000000" w:fill="FFFF00"/>
            <w:vAlign w:val="center"/>
          </w:tcPr>
          <w:p w:rsidR="00685259" w:rsidRPr="00932F66" w:rsidRDefault="00685259" w:rsidP="003E6DBA">
            <w:pPr>
              <w:spacing w:line="276" w:lineRule="auto"/>
              <w:ind w:left="-50" w:right="-76" w:firstLine="759"/>
              <w:jc w:val="center"/>
              <w:rPr>
                <w:b/>
                <w:bCs/>
                <w:lang w:val="uk-UA"/>
              </w:rPr>
            </w:pPr>
          </w:p>
        </w:tc>
        <w:tc>
          <w:tcPr>
            <w:tcW w:w="905" w:type="dxa"/>
            <w:tcBorders>
              <w:top w:val="nil"/>
              <w:left w:val="nil"/>
              <w:bottom w:val="single" w:sz="4" w:space="0" w:color="auto"/>
              <w:right w:val="single" w:sz="4" w:space="0" w:color="auto"/>
            </w:tcBorders>
            <w:shd w:val="clear" w:color="000000" w:fill="FFFF00"/>
            <w:vAlign w:val="center"/>
            <w:hideMark/>
          </w:tcPr>
          <w:p w:rsidR="00685259" w:rsidRPr="00932F66" w:rsidRDefault="00685259" w:rsidP="003E6DBA">
            <w:pPr>
              <w:spacing w:line="276" w:lineRule="auto"/>
              <w:ind w:left="-787" w:right="-76" w:firstLine="759"/>
              <w:jc w:val="center"/>
              <w:rPr>
                <w:b/>
                <w:bCs/>
                <w:lang w:val="uk-UA"/>
              </w:rPr>
            </w:pPr>
            <w:r w:rsidRPr="00932F66">
              <w:rPr>
                <w:b/>
                <w:bCs/>
                <w:lang w:val="uk-UA"/>
              </w:rPr>
              <w:t>41,8%</w:t>
            </w:r>
          </w:p>
        </w:tc>
        <w:tc>
          <w:tcPr>
            <w:tcW w:w="894" w:type="dxa"/>
            <w:tcBorders>
              <w:top w:val="nil"/>
              <w:left w:val="nil"/>
              <w:bottom w:val="single" w:sz="4" w:space="0" w:color="auto"/>
              <w:right w:val="single" w:sz="4" w:space="0" w:color="auto"/>
            </w:tcBorders>
            <w:shd w:val="clear" w:color="000000" w:fill="FFFF00"/>
            <w:vAlign w:val="center"/>
          </w:tcPr>
          <w:p w:rsidR="00685259" w:rsidRPr="00932F66" w:rsidRDefault="00685259" w:rsidP="00C90243">
            <w:pPr>
              <w:spacing w:line="276" w:lineRule="auto"/>
              <w:ind w:firstLine="709"/>
              <w:jc w:val="center"/>
              <w:rPr>
                <w:b/>
                <w:bCs/>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797" w:type="dxa"/>
            <w:vAlign w:val="center"/>
            <w:hideMark/>
          </w:tcPr>
          <w:p w:rsidR="00685259" w:rsidRPr="00932F66" w:rsidRDefault="00685259" w:rsidP="00C90243">
            <w:pPr>
              <w:spacing w:line="276" w:lineRule="auto"/>
              <w:ind w:firstLine="709"/>
              <w:rPr>
                <w:sz w:val="20"/>
                <w:szCs w:val="20"/>
                <w:lang w:val="uk-UA"/>
              </w:rPr>
            </w:pPr>
          </w:p>
        </w:tc>
      </w:tr>
      <w:tr w:rsidR="00685259" w:rsidRPr="00932F66" w:rsidTr="0011162C">
        <w:trPr>
          <w:trHeight w:val="435"/>
        </w:trPr>
        <w:tc>
          <w:tcPr>
            <w:tcW w:w="2354" w:type="dxa"/>
            <w:tcBorders>
              <w:top w:val="nil"/>
              <w:left w:val="single" w:sz="4" w:space="0" w:color="auto"/>
              <w:bottom w:val="single" w:sz="4" w:space="0" w:color="auto"/>
              <w:right w:val="single" w:sz="4" w:space="0" w:color="auto"/>
            </w:tcBorders>
            <w:vAlign w:val="center"/>
            <w:hideMark/>
          </w:tcPr>
          <w:p w:rsidR="00685259" w:rsidRPr="00932F66" w:rsidRDefault="00685259" w:rsidP="003E6DBA">
            <w:pPr>
              <w:spacing w:line="276" w:lineRule="auto"/>
              <w:ind w:firstLine="33"/>
              <w:jc w:val="center"/>
              <w:rPr>
                <w:b/>
                <w:bCs/>
                <w:lang w:val="uk-UA"/>
              </w:rPr>
            </w:pPr>
            <w:r w:rsidRPr="00932F66">
              <w:rPr>
                <w:b/>
                <w:bCs/>
                <w:lang w:val="uk-UA"/>
              </w:rPr>
              <w:lastRenderedPageBreak/>
              <w:t>ВСЬОГО</w:t>
            </w:r>
          </w:p>
        </w:tc>
        <w:tc>
          <w:tcPr>
            <w:tcW w:w="793" w:type="dxa"/>
            <w:tcBorders>
              <w:top w:val="nil"/>
              <w:left w:val="nil"/>
              <w:bottom w:val="single" w:sz="4" w:space="0" w:color="auto"/>
              <w:right w:val="single" w:sz="4" w:space="0" w:color="auto"/>
            </w:tcBorders>
            <w:vAlign w:val="center"/>
            <w:hideMark/>
          </w:tcPr>
          <w:p w:rsidR="00685259" w:rsidRPr="00932F66" w:rsidRDefault="00685259" w:rsidP="00C90243">
            <w:pPr>
              <w:spacing w:line="276" w:lineRule="auto"/>
              <w:ind w:firstLine="709"/>
              <w:jc w:val="center"/>
              <w:rPr>
                <w:b/>
                <w:bCs/>
                <w:lang w:val="uk-UA"/>
              </w:rPr>
            </w:pPr>
            <w:r w:rsidRPr="00932F66">
              <w:rPr>
                <w:b/>
                <w:bCs/>
                <w:lang w:val="uk-UA"/>
              </w:rPr>
              <w:t>495</w:t>
            </w:r>
          </w:p>
        </w:tc>
        <w:tc>
          <w:tcPr>
            <w:tcW w:w="789" w:type="dxa"/>
            <w:tcBorders>
              <w:top w:val="nil"/>
              <w:left w:val="nil"/>
              <w:bottom w:val="single" w:sz="4" w:space="0" w:color="auto"/>
              <w:right w:val="single" w:sz="4" w:space="0" w:color="auto"/>
            </w:tcBorders>
            <w:vAlign w:val="center"/>
          </w:tcPr>
          <w:p w:rsidR="00685259" w:rsidRPr="00932F66" w:rsidRDefault="00685259" w:rsidP="00C90243">
            <w:pPr>
              <w:spacing w:line="276" w:lineRule="auto"/>
              <w:ind w:firstLine="709"/>
              <w:jc w:val="center"/>
              <w:rPr>
                <w:b/>
                <w:bCs/>
                <w:lang w:val="uk-UA"/>
              </w:rPr>
            </w:pPr>
          </w:p>
        </w:tc>
        <w:tc>
          <w:tcPr>
            <w:tcW w:w="975" w:type="dxa"/>
            <w:tcBorders>
              <w:top w:val="nil"/>
              <w:left w:val="nil"/>
              <w:bottom w:val="single" w:sz="4" w:space="0" w:color="auto"/>
              <w:right w:val="single" w:sz="4" w:space="0" w:color="auto"/>
            </w:tcBorders>
            <w:vAlign w:val="center"/>
            <w:hideMark/>
          </w:tcPr>
          <w:p w:rsidR="00685259" w:rsidRPr="00932F66" w:rsidRDefault="00685259" w:rsidP="003E6DBA">
            <w:pPr>
              <w:spacing w:line="276" w:lineRule="auto"/>
              <w:ind w:left="-683" w:right="-27" w:firstLine="709"/>
              <w:jc w:val="center"/>
              <w:rPr>
                <w:b/>
                <w:bCs/>
                <w:lang w:val="uk-UA"/>
              </w:rPr>
            </w:pPr>
            <w:r w:rsidRPr="00932F66">
              <w:rPr>
                <w:b/>
                <w:bCs/>
                <w:lang w:val="uk-UA"/>
              </w:rPr>
              <w:t>100%</w:t>
            </w:r>
          </w:p>
        </w:tc>
        <w:tc>
          <w:tcPr>
            <w:tcW w:w="952" w:type="dxa"/>
            <w:tcBorders>
              <w:top w:val="nil"/>
              <w:left w:val="nil"/>
              <w:bottom w:val="single" w:sz="4" w:space="0" w:color="auto"/>
              <w:right w:val="single" w:sz="4" w:space="0" w:color="auto"/>
            </w:tcBorders>
            <w:vAlign w:val="center"/>
          </w:tcPr>
          <w:p w:rsidR="00685259" w:rsidRPr="00932F66" w:rsidRDefault="00685259" w:rsidP="00C90243">
            <w:pPr>
              <w:spacing w:line="276" w:lineRule="auto"/>
              <w:ind w:firstLine="709"/>
              <w:jc w:val="center"/>
              <w:rPr>
                <w:b/>
                <w:bCs/>
                <w:lang w:val="uk-UA"/>
              </w:rPr>
            </w:pPr>
          </w:p>
        </w:tc>
        <w:tc>
          <w:tcPr>
            <w:tcW w:w="781" w:type="dxa"/>
            <w:tcBorders>
              <w:top w:val="nil"/>
              <w:left w:val="nil"/>
              <w:bottom w:val="single" w:sz="4" w:space="0" w:color="auto"/>
              <w:right w:val="single" w:sz="4" w:space="0" w:color="auto"/>
            </w:tcBorders>
            <w:vAlign w:val="center"/>
            <w:hideMark/>
          </w:tcPr>
          <w:p w:rsidR="00685259" w:rsidRPr="00932F66" w:rsidRDefault="00685259" w:rsidP="003E6DBA">
            <w:pPr>
              <w:spacing w:line="276" w:lineRule="auto"/>
              <w:ind w:left="-733" w:right="-129" w:firstLine="709"/>
              <w:jc w:val="center"/>
              <w:rPr>
                <w:b/>
                <w:bCs/>
                <w:lang w:val="uk-UA"/>
              </w:rPr>
            </w:pPr>
            <w:r w:rsidRPr="00932F66">
              <w:rPr>
                <w:b/>
                <w:bCs/>
                <w:lang w:val="uk-UA"/>
              </w:rPr>
              <w:t>209</w:t>
            </w:r>
          </w:p>
        </w:tc>
        <w:tc>
          <w:tcPr>
            <w:tcW w:w="781" w:type="dxa"/>
            <w:tcBorders>
              <w:top w:val="nil"/>
              <w:left w:val="nil"/>
              <w:bottom w:val="single" w:sz="4" w:space="0" w:color="auto"/>
              <w:right w:val="single" w:sz="4" w:space="0" w:color="auto"/>
            </w:tcBorders>
            <w:vAlign w:val="center"/>
          </w:tcPr>
          <w:p w:rsidR="00685259" w:rsidRPr="00932F66" w:rsidRDefault="00685259" w:rsidP="00C90243">
            <w:pPr>
              <w:spacing w:line="276" w:lineRule="auto"/>
              <w:ind w:firstLine="709"/>
              <w:jc w:val="center"/>
              <w:rPr>
                <w:b/>
                <w:bCs/>
                <w:lang w:val="uk-UA"/>
              </w:rPr>
            </w:pPr>
          </w:p>
        </w:tc>
        <w:tc>
          <w:tcPr>
            <w:tcW w:w="905" w:type="dxa"/>
            <w:tcBorders>
              <w:top w:val="nil"/>
              <w:left w:val="nil"/>
              <w:bottom w:val="single" w:sz="4" w:space="0" w:color="auto"/>
              <w:right w:val="single" w:sz="4" w:space="0" w:color="auto"/>
            </w:tcBorders>
            <w:vAlign w:val="center"/>
            <w:hideMark/>
          </w:tcPr>
          <w:p w:rsidR="00685259" w:rsidRPr="00932F66" w:rsidRDefault="00685259" w:rsidP="003E6DBA">
            <w:pPr>
              <w:spacing w:line="276" w:lineRule="auto"/>
              <w:ind w:left="-736" w:right="-145" w:firstLine="709"/>
              <w:jc w:val="center"/>
              <w:rPr>
                <w:b/>
                <w:bCs/>
                <w:lang w:val="uk-UA"/>
              </w:rPr>
            </w:pPr>
            <w:r w:rsidRPr="00932F66">
              <w:rPr>
                <w:b/>
                <w:bCs/>
                <w:lang w:val="uk-UA"/>
              </w:rPr>
              <w:t>41,8%</w:t>
            </w:r>
          </w:p>
        </w:tc>
        <w:tc>
          <w:tcPr>
            <w:tcW w:w="894" w:type="dxa"/>
            <w:tcBorders>
              <w:top w:val="nil"/>
              <w:left w:val="nil"/>
              <w:bottom w:val="single" w:sz="4" w:space="0" w:color="auto"/>
              <w:right w:val="single" w:sz="4" w:space="0" w:color="auto"/>
            </w:tcBorders>
            <w:vAlign w:val="center"/>
          </w:tcPr>
          <w:p w:rsidR="00685259" w:rsidRPr="00932F66" w:rsidRDefault="00685259" w:rsidP="00C90243">
            <w:pPr>
              <w:spacing w:line="276" w:lineRule="auto"/>
              <w:ind w:firstLine="709"/>
              <w:jc w:val="center"/>
              <w:rPr>
                <w:b/>
                <w:bCs/>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222" w:type="dxa"/>
            <w:vAlign w:val="center"/>
            <w:hideMark/>
          </w:tcPr>
          <w:p w:rsidR="00685259" w:rsidRPr="00932F66" w:rsidRDefault="00685259" w:rsidP="00C90243">
            <w:pPr>
              <w:spacing w:line="276" w:lineRule="auto"/>
              <w:ind w:firstLine="709"/>
              <w:rPr>
                <w:sz w:val="20"/>
                <w:szCs w:val="20"/>
                <w:lang w:val="uk-UA"/>
              </w:rPr>
            </w:pPr>
          </w:p>
        </w:tc>
        <w:tc>
          <w:tcPr>
            <w:tcW w:w="797" w:type="dxa"/>
            <w:vAlign w:val="center"/>
            <w:hideMark/>
          </w:tcPr>
          <w:p w:rsidR="00685259" w:rsidRPr="00932F66" w:rsidRDefault="00685259" w:rsidP="00C90243">
            <w:pPr>
              <w:spacing w:line="276" w:lineRule="auto"/>
              <w:ind w:firstLine="709"/>
              <w:rPr>
                <w:sz w:val="20"/>
                <w:szCs w:val="20"/>
                <w:lang w:val="uk-UA"/>
              </w:rPr>
            </w:pPr>
          </w:p>
        </w:tc>
      </w:tr>
    </w:tbl>
    <w:p w:rsidR="00685259" w:rsidRPr="00932F66" w:rsidRDefault="00685259" w:rsidP="00C90243">
      <w:pPr>
        <w:pStyle w:val="aa"/>
        <w:spacing w:line="276" w:lineRule="auto"/>
        <w:ind w:firstLine="709"/>
        <w:jc w:val="both"/>
        <w:rPr>
          <w:b w:val="0"/>
        </w:rPr>
      </w:pPr>
    </w:p>
    <w:p w:rsidR="00685259" w:rsidRPr="00932F66" w:rsidRDefault="00685259" w:rsidP="00C90243">
      <w:pPr>
        <w:pStyle w:val="aa"/>
        <w:spacing w:line="276" w:lineRule="auto"/>
        <w:ind w:firstLine="709"/>
        <w:jc w:val="both"/>
        <w:rPr>
          <w:b w:val="0"/>
        </w:rPr>
      </w:pPr>
      <w:r w:rsidRPr="00932F66">
        <w:rPr>
          <w:b w:val="0"/>
        </w:rPr>
        <w:t xml:space="preserve">Серед </w:t>
      </w:r>
      <w:r w:rsidRPr="00932F66">
        <w:t>окружних адміністративних судів</w:t>
      </w:r>
      <w:r w:rsidRPr="00932F66">
        <w:rPr>
          <w:b w:val="0"/>
        </w:rPr>
        <w:t xml:space="preserve"> регіону найвищий відсоток скасованих ухвал до переглянутих спостерігається у Волинського (</w:t>
      </w:r>
      <w:r w:rsidRPr="00932F66">
        <w:t>48,8</w:t>
      </w:r>
      <w:r w:rsidRPr="00932F66">
        <w:rPr>
          <w:b w:val="0"/>
        </w:rPr>
        <w:t>% або 22 ухвали з 45 переглянутих), Львівського (</w:t>
      </w:r>
      <w:r w:rsidRPr="00932F66">
        <w:t>44,25</w:t>
      </w:r>
      <w:r w:rsidRPr="00932F66">
        <w:rPr>
          <w:b w:val="0"/>
        </w:rPr>
        <w:t>% або 104 ухвал з 235 переглянутих) та Закарпатського (</w:t>
      </w:r>
      <w:r w:rsidRPr="00932F66">
        <w:t>42,6</w:t>
      </w:r>
      <w:r w:rsidRPr="00932F66">
        <w:rPr>
          <w:b w:val="0"/>
        </w:rPr>
        <w:t>% або 32 ухвали з 75 переглянутих) окружних адміністративних судів, найнижчий – у Івано-Франківського (</w:t>
      </w:r>
      <w:r w:rsidRPr="00932F66">
        <w:t>32,9</w:t>
      </w:r>
      <w:r w:rsidRPr="00932F66">
        <w:rPr>
          <w:b w:val="0"/>
        </w:rPr>
        <w:t xml:space="preserve">% або 28 ухвал з 85 переглянутих) окружного адміністративного суду. </w:t>
      </w:r>
    </w:p>
    <w:p w:rsidR="00685259" w:rsidRPr="00932F66" w:rsidRDefault="00685259" w:rsidP="00C90243">
      <w:pPr>
        <w:pStyle w:val="aa"/>
        <w:spacing w:line="276" w:lineRule="auto"/>
        <w:ind w:firstLine="709"/>
        <w:jc w:val="both"/>
        <w:rPr>
          <w:b w:val="0"/>
        </w:rPr>
      </w:pPr>
    </w:p>
    <w:p w:rsidR="00685259" w:rsidRPr="00932F66" w:rsidRDefault="00685259" w:rsidP="00C90243">
      <w:pPr>
        <w:pStyle w:val="aa"/>
        <w:spacing w:line="276" w:lineRule="auto"/>
        <w:ind w:firstLine="709"/>
        <w:jc w:val="both"/>
        <w:rPr>
          <w:b w:val="0"/>
        </w:rPr>
      </w:pPr>
      <w:r w:rsidRPr="00932F66">
        <w:rPr>
          <w:b w:val="0"/>
        </w:rPr>
        <w:t xml:space="preserve">У звітному періоді апеляційною інстанцією змінено </w:t>
      </w:r>
      <w:r w:rsidRPr="00932F66">
        <w:t>4</w:t>
      </w:r>
      <w:r w:rsidRPr="00932F66">
        <w:rPr>
          <w:b w:val="0"/>
        </w:rPr>
        <w:t xml:space="preserve"> ухвали: 2- Коломийського міськрайонного суду Івано-Франківської області, 1- Снятинського районного суду Івано-Франківської області, 1 – Львівського окружного адміністративного суду, у решти судів не зміненої жодної ухвали.</w:t>
      </w:r>
    </w:p>
    <w:p w:rsidR="00685259" w:rsidRPr="00932F66" w:rsidRDefault="00685259" w:rsidP="00C90243">
      <w:pPr>
        <w:pStyle w:val="ae"/>
        <w:spacing w:line="276" w:lineRule="auto"/>
        <w:ind w:right="-143" w:firstLine="709"/>
        <w:jc w:val="both"/>
      </w:pPr>
    </w:p>
    <w:p w:rsidR="00A57442" w:rsidRPr="00932F66" w:rsidRDefault="00A57442" w:rsidP="00C90243">
      <w:pPr>
        <w:pStyle w:val="aa"/>
        <w:spacing w:line="276" w:lineRule="auto"/>
        <w:ind w:firstLine="709"/>
        <w:jc w:val="both"/>
        <w:rPr>
          <w:b w:val="0"/>
        </w:rPr>
        <w:sectPr w:rsidR="00A57442" w:rsidRPr="00932F66" w:rsidSect="00D32167">
          <w:headerReference w:type="default" r:id="rId17"/>
          <w:footerReference w:type="default" r:id="rId18"/>
          <w:type w:val="continuous"/>
          <w:pgSz w:w="11906" w:h="16838"/>
          <w:pgMar w:top="794" w:right="992" w:bottom="851" w:left="1134" w:header="709" w:footer="709" w:gutter="0"/>
          <w:cols w:space="708"/>
          <w:docGrid w:linePitch="360"/>
        </w:sectPr>
      </w:pPr>
    </w:p>
    <w:p w:rsidR="00932F66" w:rsidRDefault="00E22900" w:rsidP="00EE79A1">
      <w:pPr>
        <w:pStyle w:val="aa"/>
        <w:numPr>
          <w:ilvl w:val="0"/>
          <w:numId w:val="2"/>
        </w:numPr>
        <w:spacing w:line="276" w:lineRule="auto"/>
      </w:pPr>
      <w:r w:rsidRPr="00932F66">
        <w:lastRenderedPageBreak/>
        <w:t xml:space="preserve">Розгляд заяв про перегляд судових рішень </w:t>
      </w:r>
    </w:p>
    <w:p w:rsidR="00E22900" w:rsidRPr="00932F66" w:rsidRDefault="00E22900" w:rsidP="00C90243">
      <w:pPr>
        <w:pStyle w:val="aa"/>
        <w:spacing w:line="276" w:lineRule="auto"/>
        <w:ind w:left="372" w:firstLine="348"/>
      </w:pPr>
      <w:r w:rsidRPr="00932F66">
        <w:t>за нововиявленими обставинами.</w:t>
      </w:r>
    </w:p>
    <w:p w:rsidR="00E22900" w:rsidRPr="00932F66" w:rsidRDefault="00E22900" w:rsidP="00C90243">
      <w:pPr>
        <w:pStyle w:val="aa"/>
        <w:spacing w:line="276" w:lineRule="auto"/>
        <w:ind w:left="1080"/>
        <w:jc w:val="left"/>
      </w:pPr>
    </w:p>
    <w:p w:rsidR="00E22900" w:rsidRPr="00932F66" w:rsidRDefault="00E22900" w:rsidP="00C90243">
      <w:pPr>
        <w:pStyle w:val="aa"/>
        <w:spacing w:line="276" w:lineRule="auto"/>
        <w:ind w:firstLine="709"/>
        <w:jc w:val="both"/>
        <w:rPr>
          <w:b w:val="0"/>
        </w:rPr>
      </w:pPr>
      <w:r w:rsidRPr="00932F66">
        <w:rPr>
          <w:b w:val="0"/>
        </w:rPr>
        <w:t xml:space="preserve">У звітному періоді перебувало на розгляді </w:t>
      </w:r>
      <w:r w:rsidRPr="00932F66">
        <w:t xml:space="preserve">27 </w:t>
      </w:r>
      <w:r w:rsidRPr="00932F66">
        <w:rPr>
          <w:b w:val="0"/>
        </w:rPr>
        <w:t xml:space="preserve">заяв про перегляд судових рішень за нововиявленими або виключними обставинами, </w:t>
      </w:r>
      <w:r w:rsidRPr="00932F66">
        <w:t>22</w:t>
      </w:r>
      <w:r w:rsidRPr="00932F66">
        <w:rPr>
          <w:b w:val="0"/>
        </w:rPr>
        <w:t xml:space="preserve"> з яких надійшли до суду у цьому ж звітному періоді, з них </w:t>
      </w:r>
      <w:r w:rsidRPr="00932F66">
        <w:t>10</w:t>
      </w:r>
      <w:r w:rsidRPr="00932F66">
        <w:rPr>
          <w:b w:val="0"/>
        </w:rPr>
        <w:t xml:space="preserve"> було повернуто заявнику, а щодо </w:t>
      </w:r>
      <w:r w:rsidRPr="00932F66">
        <w:t>3</w:t>
      </w:r>
      <w:r w:rsidRPr="00932F66">
        <w:rPr>
          <w:b w:val="0"/>
        </w:rPr>
        <w:t xml:space="preserve"> заяв ухвалено інші рішення до відкриття провадження, тобто </w:t>
      </w:r>
      <w:r w:rsidRPr="00932F66">
        <w:t>37%</w:t>
      </w:r>
      <w:r w:rsidRPr="00932F66">
        <w:rPr>
          <w:b w:val="0"/>
        </w:rPr>
        <w:t xml:space="preserve">та </w:t>
      </w:r>
      <w:r w:rsidRPr="00932F66">
        <w:t>11,1%</w:t>
      </w:r>
      <w:r w:rsidRPr="00932F66">
        <w:rPr>
          <w:b w:val="0"/>
        </w:rPr>
        <w:t xml:space="preserve"> відповідно, від загальної кількості заяв, що перебували на розгляді.</w:t>
      </w:r>
    </w:p>
    <w:p w:rsidR="00E22900" w:rsidRPr="00932F66" w:rsidRDefault="00E22900" w:rsidP="00C90243">
      <w:pPr>
        <w:pStyle w:val="aa"/>
        <w:spacing w:line="276" w:lineRule="auto"/>
        <w:ind w:firstLine="709"/>
        <w:jc w:val="both"/>
        <w:rPr>
          <w:b w:val="0"/>
        </w:rPr>
      </w:pPr>
      <w:r w:rsidRPr="00932F66">
        <w:rPr>
          <w:b w:val="0"/>
        </w:rPr>
        <w:t xml:space="preserve">У звітному періоді закінчено провадження за </w:t>
      </w:r>
      <w:r w:rsidRPr="00932F66">
        <w:t>6</w:t>
      </w:r>
      <w:r w:rsidRPr="00932F66">
        <w:rPr>
          <w:b w:val="0"/>
        </w:rPr>
        <w:t xml:space="preserve"> заявами, тобто </w:t>
      </w:r>
      <w:r w:rsidRPr="00932F66">
        <w:t xml:space="preserve">22% </w:t>
      </w:r>
      <w:r w:rsidRPr="00932F66">
        <w:rPr>
          <w:b w:val="0"/>
        </w:rPr>
        <w:t>загальної кількості заяв, що перебували на розгляді, з них підставою для перегляду судового рішення були:</w:t>
      </w:r>
    </w:p>
    <w:p w:rsidR="00E22900" w:rsidRPr="00932F66" w:rsidRDefault="00E22900" w:rsidP="00C90243">
      <w:pPr>
        <w:pStyle w:val="aa"/>
        <w:spacing w:line="276" w:lineRule="auto"/>
        <w:ind w:firstLine="709"/>
        <w:jc w:val="both"/>
        <w:rPr>
          <w:b w:val="0"/>
        </w:rPr>
      </w:pPr>
      <w:r w:rsidRPr="00932F66">
        <w:rPr>
          <w:b w:val="0"/>
        </w:rPr>
        <w:t xml:space="preserve">«істотні для справи обставини, що не були встановлені судом та не могли бути відомі особі, яка звертається із заявою, на час розгляду справи» - в </w:t>
      </w:r>
      <w:r w:rsidRPr="00932F66">
        <w:t>5</w:t>
      </w:r>
      <w:r w:rsidRPr="00932F66">
        <w:rPr>
          <w:b w:val="0"/>
        </w:rPr>
        <w:t xml:space="preserve"> заявах в задоволенні яких було відмовлено, та </w:t>
      </w:r>
    </w:p>
    <w:p w:rsidR="00E22900" w:rsidRPr="00932F66" w:rsidRDefault="00E22900" w:rsidP="00C90243">
      <w:pPr>
        <w:pStyle w:val="aa"/>
        <w:spacing w:line="276" w:lineRule="auto"/>
        <w:ind w:firstLine="709"/>
        <w:jc w:val="both"/>
        <w:rPr>
          <w:b w:val="0"/>
        </w:rPr>
      </w:pPr>
      <w:r w:rsidRPr="00932F66">
        <w:rPr>
          <w:b w:val="0"/>
        </w:rPr>
        <w:t xml:space="preserve">«Встановлена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якщо рішення суду ще не виконане» - в </w:t>
      </w:r>
      <w:r w:rsidRPr="00932F66">
        <w:t>1</w:t>
      </w:r>
      <w:r w:rsidRPr="00932F66">
        <w:rPr>
          <w:b w:val="0"/>
        </w:rPr>
        <w:t xml:space="preserve"> заяві в задоволенні якої також було відмовлено.</w:t>
      </w:r>
    </w:p>
    <w:p w:rsidR="00E22900" w:rsidRPr="00932F66" w:rsidRDefault="00E22900" w:rsidP="00C90243">
      <w:pPr>
        <w:pStyle w:val="aa"/>
        <w:spacing w:line="276" w:lineRule="auto"/>
        <w:ind w:firstLine="709"/>
        <w:jc w:val="both"/>
        <w:rPr>
          <w:b w:val="0"/>
        </w:rPr>
      </w:pPr>
      <w:r w:rsidRPr="00932F66">
        <w:rPr>
          <w:b w:val="0"/>
        </w:rPr>
        <w:t xml:space="preserve">Нерозглянутими на кінець звітного періоду залишилося </w:t>
      </w:r>
      <w:r w:rsidRPr="00932F66">
        <w:t>8</w:t>
      </w:r>
      <w:r w:rsidRPr="00932F66">
        <w:rPr>
          <w:b w:val="0"/>
        </w:rPr>
        <w:t xml:space="preserve"> заяв про перегляд судових рішень за нововиявленими або виключними обставинами, тобто </w:t>
      </w:r>
      <w:r w:rsidRPr="00932F66">
        <w:t xml:space="preserve">29,6% </w:t>
      </w:r>
      <w:r w:rsidRPr="00932F66">
        <w:rPr>
          <w:b w:val="0"/>
        </w:rPr>
        <w:t>загальної кількості заяв, що перебували на розгляді.</w:t>
      </w:r>
    </w:p>
    <w:p w:rsidR="00E22900" w:rsidRPr="00932F66" w:rsidRDefault="00E22900" w:rsidP="00C90243">
      <w:pPr>
        <w:pStyle w:val="aa"/>
        <w:spacing w:line="276" w:lineRule="auto"/>
        <w:ind w:firstLine="708"/>
        <w:jc w:val="both"/>
        <w:rPr>
          <w:b w:val="0"/>
        </w:rPr>
      </w:pPr>
      <w:r w:rsidRPr="00932F66">
        <w:rPr>
          <w:b w:val="0"/>
        </w:rPr>
        <w:t xml:space="preserve">Крім того, у звітному періоді перебувала на розгляді </w:t>
      </w:r>
      <w:r w:rsidRPr="00932F66">
        <w:t>1</w:t>
      </w:r>
      <w:r w:rsidRPr="00932F66">
        <w:rPr>
          <w:b w:val="0"/>
        </w:rPr>
        <w:t xml:space="preserve"> заява про перегляд судового рішення (ЛААС як суд І-шої інстанції),  за нововиявленими обставинами, яка надійшла до суду у цьому ж звітному періоді.</w:t>
      </w:r>
    </w:p>
    <w:p w:rsidR="00E22900" w:rsidRPr="00932F66" w:rsidRDefault="00E22900" w:rsidP="00C90243">
      <w:pPr>
        <w:pStyle w:val="aa"/>
        <w:spacing w:line="276" w:lineRule="auto"/>
        <w:ind w:firstLine="708"/>
        <w:jc w:val="both"/>
        <w:rPr>
          <w:b w:val="0"/>
        </w:rPr>
      </w:pPr>
      <w:r w:rsidRPr="00932F66">
        <w:rPr>
          <w:b w:val="0"/>
        </w:rPr>
        <w:lastRenderedPageBreak/>
        <w:t>Підставою для перегляду судового рішення за нововиявленими обставинами згідно цієї заяви було «істотні для справи обставини, що не були встановлені судом та не могли бути відомі особі, яка звертається із заявою, на час розгляду справи».</w:t>
      </w:r>
    </w:p>
    <w:p w:rsidR="00E22900" w:rsidRPr="00932F66" w:rsidRDefault="00E22900" w:rsidP="00C90243">
      <w:pPr>
        <w:pStyle w:val="aa"/>
        <w:spacing w:line="276" w:lineRule="auto"/>
        <w:ind w:firstLine="708"/>
        <w:jc w:val="both"/>
        <w:rPr>
          <w:b w:val="0"/>
        </w:rPr>
      </w:pPr>
      <w:r w:rsidRPr="00932F66">
        <w:rPr>
          <w:b w:val="0"/>
        </w:rPr>
        <w:t>Дану заяву було повернуто заявнику.</w:t>
      </w:r>
    </w:p>
    <w:p w:rsidR="00E22900" w:rsidRPr="00932F66" w:rsidRDefault="00E22900" w:rsidP="00C90243">
      <w:pPr>
        <w:pStyle w:val="aa"/>
        <w:spacing w:line="276" w:lineRule="auto"/>
        <w:ind w:left="1080"/>
        <w:jc w:val="left"/>
      </w:pPr>
    </w:p>
    <w:p w:rsidR="00E22900" w:rsidRPr="00932F66" w:rsidRDefault="00E22900" w:rsidP="00EE79A1">
      <w:pPr>
        <w:pStyle w:val="aa"/>
        <w:numPr>
          <w:ilvl w:val="0"/>
          <w:numId w:val="2"/>
        </w:numPr>
        <w:spacing w:line="276" w:lineRule="auto"/>
      </w:pPr>
      <w:r w:rsidRPr="00932F66">
        <w:t>Розгляд позовних заяв.</w:t>
      </w:r>
    </w:p>
    <w:p w:rsidR="00E22900" w:rsidRPr="00932F66" w:rsidRDefault="00E22900" w:rsidP="004A7977">
      <w:pPr>
        <w:pStyle w:val="aa"/>
        <w:spacing w:before="240" w:line="276" w:lineRule="auto"/>
        <w:ind w:firstLine="708"/>
        <w:jc w:val="both"/>
        <w:rPr>
          <w:b w:val="0"/>
        </w:rPr>
      </w:pPr>
      <w:r w:rsidRPr="00932F66">
        <w:rPr>
          <w:b w:val="0"/>
        </w:rPr>
        <w:t xml:space="preserve">Упродовж 2018 року до Львівського апеляційного адміністративного суду як до суду першої інстанції надійшла </w:t>
      </w:r>
      <w:r w:rsidRPr="00932F66">
        <w:t>1</w:t>
      </w:r>
      <w:r w:rsidRPr="00932F66">
        <w:rPr>
          <w:b w:val="0"/>
        </w:rPr>
        <w:t xml:space="preserve"> позовна заява на підставі якої було відкрито провадження в адміністративній справі.</w:t>
      </w:r>
    </w:p>
    <w:p w:rsidR="00E22900" w:rsidRPr="00932F66" w:rsidRDefault="00E22900" w:rsidP="004A7977">
      <w:pPr>
        <w:pStyle w:val="aa"/>
        <w:spacing w:before="240" w:line="276" w:lineRule="auto"/>
        <w:ind w:firstLine="708"/>
        <w:jc w:val="both"/>
        <w:rPr>
          <w:b w:val="0"/>
        </w:rPr>
      </w:pPr>
      <w:r w:rsidRPr="00932F66">
        <w:rPr>
          <w:b w:val="0"/>
        </w:rPr>
        <w:t xml:space="preserve">Упродовж 2018 року розглянуто </w:t>
      </w:r>
      <w:r w:rsidRPr="00932F66">
        <w:t>17</w:t>
      </w:r>
      <w:r w:rsidRPr="00932F66">
        <w:rPr>
          <w:b w:val="0"/>
        </w:rPr>
        <w:t xml:space="preserve"> справ, з них у </w:t>
      </w:r>
      <w:r w:rsidRPr="00932F66">
        <w:t>12</w:t>
      </w:r>
      <w:r w:rsidRPr="00932F66">
        <w:rPr>
          <w:b w:val="0"/>
        </w:rPr>
        <w:t xml:space="preserve"> справах заяви залишено без розгляду, у </w:t>
      </w:r>
      <w:r w:rsidRPr="00932F66">
        <w:t>2</w:t>
      </w:r>
      <w:r w:rsidRPr="00932F66">
        <w:rPr>
          <w:b w:val="0"/>
        </w:rPr>
        <w:t xml:space="preserve"> закрито провадження у справі, </w:t>
      </w:r>
      <w:r w:rsidRPr="00932F66">
        <w:t>3</w:t>
      </w:r>
      <w:r w:rsidRPr="00932F66">
        <w:rPr>
          <w:b w:val="0"/>
        </w:rPr>
        <w:t xml:space="preserve"> справи розглянуто з прийняттям рішення з яких в </w:t>
      </w:r>
      <w:r w:rsidRPr="00932F66">
        <w:t>1</w:t>
      </w:r>
      <w:r w:rsidRPr="00932F66">
        <w:rPr>
          <w:b w:val="0"/>
        </w:rPr>
        <w:t xml:space="preserve"> справі позов задоволено.</w:t>
      </w:r>
    </w:p>
    <w:p w:rsidR="00E22900" w:rsidRPr="00932F66" w:rsidRDefault="00E22900" w:rsidP="004A7977">
      <w:pPr>
        <w:pStyle w:val="aa"/>
        <w:spacing w:before="240" w:line="276" w:lineRule="auto"/>
        <w:ind w:firstLine="708"/>
        <w:jc w:val="both"/>
        <w:rPr>
          <w:b w:val="0"/>
        </w:rPr>
      </w:pPr>
      <w:r w:rsidRPr="00932F66">
        <w:rPr>
          <w:b w:val="0"/>
        </w:rPr>
        <w:t>У залишку на кінець звітного періоду не залишилось жодної справи позовного провадження.</w:t>
      </w:r>
    </w:p>
    <w:p w:rsidR="00E22900" w:rsidRPr="00932F66" w:rsidRDefault="00E22900" w:rsidP="004A7977">
      <w:pPr>
        <w:pStyle w:val="aa"/>
        <w:spacing w:before="240" w:line="276" w:lineRule="auto"/>
        <w:ind w:firstLine="708"/>
        <w:jc w:val="both"/>
        <w:rPr>
          <w:b w:val="0"/>
        </w:rPr>
      </w:pPr>
      <w:r w:rsidRPr="00932F66">
        <w:rPr>
          <w:b w:val="0"/>
        </w:rPr>
        <w:t xml:space="preserve">Упродовж 2017 року до Львівського апеляційного адміністративного суду як до суду першої інстанції надійшло </w:t>
      </w:r>
      <w:r w:rsidRPr="00932F66">
        <w:t>49</w:t>
      </w:r>
      <w:r w:rsidRPr="00932F66">
        <w:rPr>
          <w:b w:val="0"/>
        </w:rPr>
        <w:t xml:space="preserve"> позовних заяв, з яких </w:t>
      </w:r>
      <w:r w:rsidRPr="00932F66">
        <w:t xml:space="preserve">5 </w:t>
      </w:r>
      <w:r w:rsidRPr="00932F66">
        <w:rPr>
          <w:b w:val="0"/>
        </w:rPr>
        <w:t>позовних заяв повернуто позивачу.</w:t>
      </w:r>
    </w:p>
    <w:p w:rsidR="00E22900" w:rsidRPr="00932F66" w:rsidRDefault="00E22900" w:rsidP="004A7977">
      <w:pPr>
        <w:pStyle w:val="aa"/>
        <w:spacing w:before="240" w:line="276" w:lineRule="auto"/>
        <w:ind w:firstLine="708"/>
        <w:jc w:val="both"/>
        <w:rPr>
          <w:b w:val="0"/>
        </w:rPr>
      </w:pPr>
      <w:r w:rsidRPr="00932F66">
        <w:rPr>
          <w:b w:val="0"/>
        </w:rPr>
        <w:t xml:space="preserve">Упродовж 2017 року розглянуто </w:t>
      </w:r>
      <w:r w:rsidRPr="00932F66">
        <w:t>31</w:t>
      </w:r>
      <w:r w:rsidRPr="00932F66">
        <w:rPr>
          <w:b w:val="0"/>
        </w:rPr>
        <w:t xml:space="preserve"> справу, з них у </w:t>
      </w:r>
      <w:r w:rsidRPr="00932F66">
        <w:t>28</w:t>
      </w:r>
      <w:r w:rsidRPr="00932F66">
        <w:rPr>
          <w:b w:val="0"/>
        </w:rPr>
        <w:t xml:space="preserve"> справах залишено заяви без розгляду, у </w:t>
      </w:r>
      <w:r w:rsidRPr="00932F66">
        <w:t>1</w:t>
      </w:r>
      <w:r w:rsidRPr="00932F66">
        <w:rPr>
          <w:b w:val="0"/>
        </w:rPr>
        <w:t xml:space="preserve"> справі прийнято постанову про задоволення позову, у </w:t>
      </w:r>
      <w:r w:rsidRPr="00932F66">
        <w:t>3</w:t>
      </w:r>
      <w:r w:rsidRPr="00932F66">
        <w:rPr>
          <w:b w:val="0"/>
        </w:rPr>
        <w:t xml:space="preserve"> справах – про відмову в задоволенні позову.</w:t>
      </w:r>
    </w:p>
    <w:p w:rsidR="00E22900" w:rsidRPr="00932F66" w:rsidRDefault="00E22900" w:rsidP="004A7977">
      <w:pPr>
        <w:pStyle w:val="aa"/>
        <w:spacing w:before="240" w:line="276" w:lineRule="auto"/>
        <w:ind w:firstLine="708"/>
        <w:jc w:val="both"/>
        <w:rPr>
          <w:b w:val="0"/>
        </w:rPr>
      </w:pPr>
      <w:r w:rsidRPr="00932F66">
        <w:rPr>
          <w:b w:val="0"/>
        </w:rPr>
        <w:t xml:space="preserve">У залишку на кінець 2017 року перебувало </w:t>
      </w:r>
      <w:r w:rsidRPr="00932F66">
        <w:rPr>
          <w:lang w:val="ru-RU"/>
        </w:rPr>
        <w:t>16</w:t>
      </w:r>
      <w:r w:rsidRPr="00932F66">
        <w:rPr>
          <w:b w:val="0"/>
        </w:rPr>
        <w:t xml:space="preserve"> справ позовного провадження.</w:t>
      </w:r>
    </w:p>
    <w:p w:rsidR="00E22900" w:rsidRPr="00932F66" w:rsidRDefault="00E22900" w:rsidP="004A7977">
      <w:pPr>
        <w:pStyle w:val="aa"/>
        <w:spacing w:before="240" w:line="276" w:lineRule="auto"/>
        <w:ind w:firstLine="708"/>
        <w:jc w:val="both"/>
        <w:rPr>
          <w:b w:val="0"/>
        </w:rPr>
      </w:pPr>
      <w:r w:rsidRPr="00932F66">
        <w:rPr>
          <w:b w:val="0"/>
        </w:rPr>
        <w:t>У порівнянні з минулорічним звітним періодом в структурі справ позовного провадження значно зменшилась кількість справ, які надійшли у звітному періоді. Відповідно показник розглянутих справ позовного провадження становив 100%.</w:t>
      </w:r>
    </w:p>
    <w:p w:rsidR="000D5754" w:rsidRPr="00932F66" w:rsidRDefault="000D5754" w:rsidP="00EE79A1">
      <w:pPr>
        <w:pStyle w:val="aa"/>
        <w:numPr>
          <w:ilvl w:val="0"/>
          <w:numId w:val="2"/>
        </w:numPr>
        <w:spacing w:before="240" w:line="276" w:lineRule="auto"/>
        <w:jc w:val="left"/>
      </w:pPr>
      <w:r w:rsidRPr="00932F66">
        <w:t>Справляння, звільнення від сплати та повернення судового збору.</w:t>
      </w:r>
    </w:p>
    <w:p w:rsidR="000D5754" w:rsidRPr="00932F66" w:rsidRDefault="000D5754" w:rsidP="004A7977">
      <w:pPr>
        <w:pStyle w:val="aa"/>
        <w:spacing w:before="240" w:line="276" w:lineRule="auto"/>
        <w:ind w:firstLine="708"/>
        <w:jc w:val="both"/>
        <w:rPr>
          <w:b w:val="0"/>
        </w:rPr>
      </w:pPr>
      <w:r w:rsidRPr="00932F66">
        <w:rPr>
          <w:b w:val="0"/>
        </w:rPr>
        <w:t xml:space="preserve">Відповідно до сформованого в комп’ютерній програмі «Діловодство спеціалізованого суду» звіту форми № 10 «Звіт про справляння, звільнення від сплати та повернення судового збору в місцевих та апеляційних судах» упродовж 2018 року </w:t>
      </w:r>
      <w:r w:rsidRPr="00932F66">
        <w:rPr>
          <w:b w:val="0"/>
          <w:i/>
        </w:rPr>
        <w:t>фактично сплачено</w:t>
      </w:r>
      <w:r w:rsidRPr="00932F66">
        <w:t xml:space="preserve">16 004 111 </w:t>
      </w:r>
      <w:r w:rsidRPr="00932F66">
        <w:rPr>
          <w:b w:val="0"/>
        </w:rPr>
        <w:t xml:space="preserve">гривень за </w:t>
      </w:r>
      <w:r w:rsidRPr="00932F66">
        <w:t>3 362</w:t>
      </w:r>
      <w:r w:rsidRPr="00932F66">
        <w:rPr>
          <w:b w:val="0"/>
        </w:rPr>
        <w:t xml:space="preserve"> заяви (скарги), видачу документів та </w:t>
      </w:r>
      <w:r w:rsidRPr="00932F66">
        <w:rPr>
          <w:b w:val="0"/>
          <w:i/>
        </w:rPr>
        <w:t>повернуто</w:t>
      </w:r>
      <w:r w:rsidRPr="00932F66">
        <w:t xml:space="preserve">207 634 </w:t>
      </w:r>
      <w:r w:rsidRPr="00932F66">
        <w:rPr>
          <w:b w:val="0"/>
        </w:rPr>
        <w:t xml:space="preserve">гривень за </w:t>
      </w:r>
      <w:r w:rsidRPr="00932F66">
        <w:t xml:space="preserve">92 </w:t>
      </w:r>
      <w:r w:rsidRPr="00932F66">
        <w:rPr>
          <w:b w:val="0"/>
        </w:rPr>
        <w:t xml:space="preserve">заяви (скарги) щодо судового збору, про що відображено в </w:t>
      </w:r>
      <w:r w:rsidRPr="00932F66">
        <w:t>таблиці 20</w:t>
      </w:r>
      <w:r w:rsidRPr="00932F66">
        <w:rPr>
          <w:b w:val="0"/>
        </w:rPr>
        <w:t>.</w:t>
      </w:r>
    </w:p>
    <w:p w:rsidR="000D5754" w:rsidRPr="00932F66" w:rsidRDefault="000D5754" w:rsidP="004A7977">
      <w:pPr>
        <w:pStyle w:val="aa"/>
        <w:spacing w:before="240" w:line="276" w:lineRule="auto"/>
        <w:ind w:firstLine="708"/>
        <w:jc w:val="right"/>
      </w:pPr>
      <w:r w:rsidRPr="00932F66">
        <w:lastRenderedPageBreak/>
        <w:t>Таблиця 20</w:t>
      </w:r>
    </w:p>
    <w:p w:rsidR="000D5754" w:rsidRPr="00932F66" w:rsidRDefault="000D5754" w:rsidP="004A7977">
      <w:pPr>
        <w:pStyle w:val="ae"/>
        <w:spacing w:before="240" w:line="276" w:lineRule="auto"/>
        <w:ind w:right="-143" w:firstLine="708"/>
        <w:jc w:val="center"/>
        <w:rPr>
          <w:rFonts w:ascii="Times New Roman" w:hAnsi="Times New Roman"/>
          <w:b/>
          <w:sz w:val="28"/>
          <w:szCs w:val="28"/>
        </w:rPr>
      </w:pPr>
      <w:r w:rsidRPr="00932F66">
        <w:rPr>
          <w:rFonts w:ascii="Times New Roman" w:hAnsi="Times New Roman"/>
          <w:b/>
          <w:sz w:val="28"/>
          <w:szCs w:val="28"/>
        </w:rPr>
        <w:t xml:space="preserve">Показники фактичної сплати та повернення судового збору </w:t>
      </w:r>
    </w:p>
    <w:p w:rsidR="000D5754" w:rsidRPr="00932F66" w:rsidRDefault="000D5754" w:rsidP="004A7977">
      <w:pPr>
        <w:pStyle w:val="ae"/>
        <w:spacing w:before="240" w:line="276" w:lineRule="auto"/>
        <w:ind w:right="-143" w:firstLine="708"/>
        <w:jc w:val="center"/>
        <w:rPr>
          <w:rFonts w:ascii="Times New Roman" w:hAnsi="Times New Roman"/>
          <w:b/>
          <w:sz w:val="28"/>
          <w:szCs w:val="28"/>
        </w:rPr>
      </w:pPr>
      <w:r w:rsidRPr="00932F66">
        <w:rPr>
          <w:rFonts w:ascii="Times New Roman" w:hAnsi="Times New Roman"/>
          <w:b/>
          <w:sz w:val="28"/>
          <w:szCs w:val="28"/>
        </w:rPr>
        <w:t>упродовж 2018 року</w:t>
      </w:r>
    </w:p>
    <w:tbl>
      <w:tblPr>
        <w:tblW w:w="9820" w:type="dxa"/>
        <w:tblInd w:w="93" w:type="dxa"/>
        <w:tblLook w:val="04A0"/>
      </w:tblPr>
      <w:tblGrid>
        <w:gridCol w:w="520"/>
        <w:gridCol w:w="3360"/>
        <w:gridCol w:w="1400"/>
        <w:gridCol w:w="1823"/>
        <w:gridCol w:w="1237"/>
        <w:gridCol w:w="1480"/>
      </w:tblGrid>
      <w:tr w:rsidR="000D5754" w:rsidRPr="00932F66" w:rsidTr="00D32167">
        <w:trPr>
          <w:trHeight w:val="615"/>
        </w:trPr>
        <w:tc>
          <w:tcPr>
            <w:tcW w:w="520" w:type="dxa"/>
            <w:vMerge w:val="restart"/>
            <w:tcBorders>
              <w:top w:val="single" w:sz="8" w:space="0" w:color="auto"/>
              <w:left w:val="single" w:sz="8" w:space="0" w:color="auto"/>
              <w:bottom w:val="nil"/>
              <w:right w:val="single" w:sz="8" w:space="0" w:color="auto"/>
            </w:tcBorders>
            <w:vAlign w:val="bottom"/>
            <w:hideMark/>
          </w:tcPr>
          <w:p w:rsidR="000D5754" w:rsidRPr="00932F66" w:rsidRDefault="000D5754" w:rsidP="004A7977">
            <w:pPr>
              <w:spacing w:before="240" w:line="276" w:lineRule="auto"/>
              <w:jc w:val="center"/>
              <w:rPr>
                <w:b/>
                <w:bCs/>
                <w:sz w:val="18"/>
                <w:szCs w:val="18"/>
                <w:lang w:val="uk-UA"/>
              </w:rPr>
            </w:pPr>
            <w:r w:rsidRPr="00932F66">
              <w:rPr>
                <w:b/>
                <w:bCs/>
                <w:sz w:val="18"/>
                <w:szCs w:val="18"/>
                <w:lang w:val="uk-UA"/>
              </w:rPr>
              <w:t>№ з\п</w:t>
            </w:r>
          </w:p>
        </w:tc>
        <w:tc>
          <w:tcPr>
            <w:tcW w:w="3360" w:type="dxa"/>
            <w:vMerge w:val="restart"/>
            <w:tcBorders>
              <w:top w:val="single" w:sz="8" w:space="0" w:color="auto"/>
              <w:left w:val="single" w:sz="8" w:space="0" w:color="auto"/>
              <w:bottom w:val="nil"/>
              <w:right w:val="single" w:sz="8" w:space="0" w:color="auto"/>
            </w:tcBorders>
            <w:vAlign w:val="bottom"/>
            <w:hideMark/>
          </w:tcPr>
          <w:p w:rsidR="000D5754" w:rsidRPr="00932F66" w:rsidRDefault="000D5754" w:rsidP="004A7977">
            <w:pPr>
              <w:spacing w:before="240" w:line="276" w:lineRule="auto"/>
              <w:jc w:val="center"/>
              <w:rPr>
                <w:b/>
                <w:bCs/>
                <w:lang w:val="uk-UA"/>
              </w:rPr>
            </w:pPr>
            <w:r w:rsidRPr="00932F66">
              <w:rPr>
                <w:b/>
                <w:bCs/>
                <w:lang w:val="uk-UA"/>
              </w:rPr>
              <w:t>Найменування документа і дії, за яку справляється судовий збір</w:t>
            </w:r>
          </w:p>
        </w:tc>
        <w:tc>
          <w:tcPr>
            <w:tcW w:w="3223" w:type="dxa"/>
            <w:gridSpan w:val="2"/>
            <w:tcBorders>
              <w:top w:val="single" w:sz="8" w:space="0" w:color="auto"/>
              <w:left w:val="nil"/>
              <w:bottom w:val="single" w:sz="8" w:space="0" w:color="auto"/>
              <w:right w:val="single" w:sz="8" w:space="0" w:color="000000"/>
            </w:tcBorders>
            <w:vAlign w:val="bottom"/>
            <w:hideMark/>
          </w:tcPr>
          <w:p w:rsidR="000D5754" w:rsidRPr="00932F66" w:rsidRDefault="000D5754" w:rsidP="004A7977">
            <w:pPr>
              <w:spacing w:before="240" w:line="276" w:lineRule="auto"/>
              <w:jc w:val="center"/>
              <w:rPr>
                <w:b/>
                <w:bCs/>
                <w:lang w:val="uk-UA"/>
              </w:rPr>
            </w:pPr>
            <w:r w:rsidRPr="00932F66">
              <w:rPr>
                <w:b/>
                <w:bCs/>
                <w:lang w:val="uk-UA"/>
              </w:rPr>
              <w:t>Фактично сплачено судового збору, всього</w:t>
            </w:r>
          </w:p>
        </w:tc>
        <w:tc>
          <w:tcPr>
            <w:tcW w:w="2717" w:type="dxa"/>
            <w:gridSpan w:val="2"/>
            <w:tcBorders>
              <w:top w:val="single" w:sz="8" w:space="0" w:color="auto"/>
              <w:left w:val="nil"/>
              <w:bottom w:val="single" w:sz="8" w:space="0" w:color="auto"/>
              <w:right w:val="single" w:sz="8" w:space="0" w:color="000000"/>
            </w:tcBorders>
            <w:vAlign w:val="bottom"/>
            <w:hideMark/>
          </w:tcPr>
          <w:p w:rsidR="000D5754" w:rsidRPr="00932F66" w:rsidRDefault="000D5754" w:rsidP="004A7977">
            <w:pPr>
              <w:spacing w:before="240" w:line="276" w:lineRule="auto"/>
              <w:jc w:val="center"/>
              <w:rPr>
                <w:b/>
                <w:bCs/>
                <w:lang w:val="uk-UA"/>
              </w:rPr>
            </w:pPr>
            <w:r w:rsidRPr="00932F66">
              <w:rPr>
                <w:b/>
                <w:bCs/>
                <w:lang w:val="uk-UA"/>
              </w:rPr>
              <w:t>Повернено судового збору</w:t>
            </w:r>
          </w:p>
        </w:tc>
      </w:tr>
      <w:tr w:rsidR="000D5754" w:rsidRPr="00932F66" w:rsidTr="00D32167">
        <w:trPr>
          <w:trHeight w:val="1245"/>
        </w:trPr>
        <w:tc>
          <w:tcPr>
            <w:tcW w:w="520" w:type="dxa"/>
            <w:vMerge/>
            <w:tcBorders>
              <w:top w:val="single" w:sz="8" w:space="0" w:color="auto"/>
              <w:left w:val="single" w:sz="8" w:space="0" w:color="auto"/>
              <w:bottom w:val="nil"/>
              <w:right w:val="single" w:sz="8" w:space="0" w:color="auto"/>
            </w:tcBorders>
            <w:vAlign w:val="center"/>
            <w:hideMark/>
          </w:tcPr>
          <w:p w:rsidR="000D5754" w:rsidRPr="00932F66" w:rsidRDefault="000D5754" w:rsidP="004A7977">
            <w:pPr>
              <w:spacing w:before="240" w:line="276" w:lineRule="auto"/>
              <w:rPr>
                <w:b/>
                <w:bCs/>
                <w:sz w:val="18"/>
                <w:szCs w:val="18"/>
                <w:lang w:val="uk-UA"/>
              </w:rPr>
            </w:pPr>
          </w:p>
        </w:tc>
        <w:tc>
          <w:tcPr>
            <w:tcW w:w="3360" w:type="dxa"/>
            <w:vMerge/>
            <w:tcBorders>
              <w:top w:val="single" w:sz="8" w:space="0" w:color="auto"/>
              <w:left w:val="single" w:sz="8" w:space="0" w:color="auto"/>
              <w:bottom w:val="nil"/>
              <w:right w:val="single" w:sz="8" w:space="0" w:color="auto"/>
            </w:tcBorders>
            <w:vAlign w:val="center"/>
            <w:hideMark/>
          </w:tcPr>
          <w:p w:rsidR="000D5754" w:rsidRPr="00932F66" w:rsidRDefault="000D5754" w:rsidP="004A7977">
            <w:pPr>
              <w:spacing w:before="240" w:line="276" w:lineRule="auto"/>
              <w:rPr>
                <w:b/>
                <w:bCs/>
                <w:lang w:val="uk-UA"/>
              </w:rPr>
            </w:pPr>
          </w:p>
        </w:tc>
        <w:tc>
          <w:tcPr>
            <w:tcW w:w="1400" w:type="dxa"/>
            <w:tcBorders>
              <w:top w:val="nil"/>
              <w:left w:val="nil"/>
              <w:bottom w:val="nil"/>
              <w:right w:val="single" w:sz="8" w:space="0" w:color="auto"/>
            </w:tcBorders>
            <w:vAlign w:val="bottom"/>
            <w:hideMark/>
          </w:tcPr>
          <w:p w:rsidR="000D5754" w:rsidRPr="00932F66" w:rsidRDefault="000D5754" w:rsidP="004A7977">
            <w:pPr>
              <w:spacing w:before="240" w:line="276" w:lineRule="auto"/>
              <w:jc w:val="center"/>
              <w:rPr>
                <w:lang w:val="uk-UA"/>
              </w:rPr>
            </w:pPr>
            <w:r w:rsidRPr="00932F66">
              <w:rPr>
                <w:lang w:val="uk-UA"/>
              </w:rPr>
              <w:t>Кількість заяв (скарг)</w:t>
            </w:r>
          </w:p>
        </w:tc>
        <w:tc>
          <w:tcPr>
            <w:tcW w:w="1823" w:type="dxa"/>
            <w:tcBorders>
              <w:top w:val="nil"/>
              <w:left w:val="nil"/>
              <w:bottom w:val="nil"/>
              <w:right w:val="single" w:sz="8" w:space="0" w:color="auto"/>
            </w:tcBorders>
            <w:vAlign w:val="bottom"/>
            <w:hideMark/>
          </w:tcPr>
          <w:p w:rsidR="000D5754" w:rsidRPr="00932F66" w:rsidRDefault="000D5754" w:rsidP="004A7977">
            <w:pPr>
              <w:spacing w:before="240" w:line="276" w:lineRule="auto"/>
              <w:jc w:val="center"/>
              <w:rPr>
                <w:lang w:val="uk-UA"/>
              </w:rPr>
            </w:pPr>
            <w:r w:rsidRPr="00932F66">
              <w:rPr>
                <w:lang w:val="uk-UA"/>
              </w:rPr>
              <w:t>Сума фактично сплаченого судового збору, грн.</w:t>
            </w:r>
          </w:p>
        </w:tc>
        <w:tc>
          <w:tcPr>
            <w:tcW w:w="1237" w:type="dxa"/>
            <w:tcBorders>
              <w:top w:val="nil"/>
              <w:left w:val="nil"/>
              <w:bottom w:val="nil"/>
              <w:right w:val="single" w:sz="8" w:space="0" w:color="auto"/>
            </w:tcBorders>
            <w:vAlign w:val="bottom"/>
            <w:hideMark/>
          </w:tcPr>
          <w:p w:rsidR="000D5754" w:rsidRPr="00932F66" w:rsidRDefault="000D5754" w:rsidP="004A7977">
            <w:pPr>
              <w:spacing w:before="240" w:line="276" w:lineRule="auto"/>
              <w:jc w:val="center"/>
              <w:rPr>
                <w:lang w:val="uk-UA"/>
              </w:rPr>
            </w:pPr>
            <w:r w:rsidRPr="00932F66">
              <w:rPr>
                <w:lang w:val="uk-UA"/>
              </w:rPr>
              <w:t>Кількість заяв (скарг)</w:t>
            </w:r>
          </w:p>
        </w:tc>
        <w:tc>
          <w:tcPr>
            <w:tcW w:w="1480" w:type="dxa"/>
            <w:tcBorders>
              <w:top w:val="nil"/>
              <w:left w:val="nil"/>
              <w:bottom w:val="nil"/>
              <w:right w:val="single" w:sz="8" w:space="0" w:color="auto"/>
            </w:tcBorders>
            <w:vAlign w:val="bottom"/>
            <w:hideMark/>
          </w:tcPr>
          <w:p w:rsidR="000D5754" w:rsidRPr="00932F66" w:rsidRDefault="000D5754" w:rsidP="004A7977">
            <w:pPr>
              <w:spacing w:before="240" w:line="276" w:lineRule="auto"/>
              <w:jc w:val="center"/>
              <w:rPr>
                <w:lang w:val="uk-UA"/>
              </w:rPr>
            </w:pPr>
            <w:r w:rsidRPr="00932F66">
              <w:rPr>
                <w:lang w:val="uk-UA"/>
              </w:rPr>
              <w:t>Сума судового збору, грн.</w:t>
            </w:r>
          </w:p>
        </w:tc>
      </w:tr>
      <w:tr w:rsidR="000D5754" w:rsidRPr="00932F66" w:rsidTr="00D32167">
        <w:trPr>
          <w:trHeight w:val="315"/>
        </w:trPr>
        <w:tc>
          <w:tcPr>
            <w:tcW w:w="520" w:type="dxa"/>
            <w:tcBorders>
              <w:top w:val="single" w:sz="8" w:space="0" w:color="auto"/>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b/>
                <w:bCs/>
                <w:sz w:val="18"/>
                <w:szCs w:val="18"/>
                <w:lang w:val="uk-UA"/>
              </w:rPr>
            </w:pPr>
            <w:r w:rsidRPr="00932F66">
              <w:rPr>
                <w:b/>
                <w:bCs/>
                <w:sz w:val="18"/>
                <w:szCs w:val="18"/>
                <w:lang w:val="uk-UA"/>
              </w:rPr>
              <w:t>А</w:t>
            </w:r>
          </w:p>
        </w:tc>
        <w:tc>
          <w:tcPr>
            <w:tcW w:w="3360" w:type="dxa"/>
            <w:tcBorders>
              <w:top w:val="single" w:sz="8" w:space="0" w:color="auto"/>
              <w:left w:val="nil"/>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b/>
                <w:bCs/>
                <w:sz w:val="18"/>
                <w:szCs w:val="18"/>
                <w:lang w:val="uk-UA"/>
              </w:rPr>
            </w:pPr>
            <w:r w:rsidRPr="00932F66">
              <w:rPr>
                <w:b/>
                <w:bCs/>
                <w:sz w:val="18"/>
                <w:szCs w:val="18"/>
                <w:lang w:val="uk-UA"/>
              </w:rPr>
              <w:t>Б</w:t>
            </w:r>
          </w:p>
        </w:tc>
        <w:tc>
          <w:tcPr>
            <w:tcW w:w="1400" w:type="dxa"/>
            <w:tcBorders>
              <w:top w:val="single" w:sz="8" w:space="0" w:color="auto"/>
              <w:left w:val="nil"/>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b/>
                <w:bCs/>
                <w:sz w:val="18"/>
                <w:szCs w:val="18"/>
                <w:lang w:val="uk-UA"/>
              </w:rPr>
            </w:pPr>
            <w:r w:rsidRPr="00932F66">
              <w:rPr>
                <w:b/>
                <w:bCs/>
                <w:sz w:val="18"/>
                <w:szCs w:val="18"/>
                <w:lang w:val="uk-UA"/>
              </w:rPr>
              <w:t>1</w:t>
            </w:r>
          </w:p>
        </w:tc>
        <w:tc>
          <w:tcPr>
            <w:tcW w:w="1823" w:type="dxa"/>
            <w:tcBorders>
              <w:top w:val="single" w:sz="8" w:space="0" w:color="auto"/>
              <w:left w:val="nil"/>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b/>
                <w:bCs/>
                <w:sz w:val="18"/>
                <w:szCs w:val="18"/>
                <w:lang w:val="uk-UA"/>
              </w:rPr>
            </w:pPr>
            <w:r w:rsidRPr="00932F66">
              <w:rPr>
                <w:b/>
                <w:bCs/>
                <w:sz w:val="18"/>
                <w:szCs w:val="18"/>
                <w:lang w:val="uk-UA"/>
              </w:rPr>
              <w:t>2</w:t>
            </w:r>
          </w:p>
        </w:tc>
        <w:tc>
          <w:tcPr>
            <w:tcW w:w="1237" w:type="dxa"/>
            <w:tcBorders>
              <w:top w:val="single" w:sz="8" w:space="0" w:color="auto"/>
              <w:left w:val="nil"/>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b/>
                <w:bCs/>
                <w:sz w:val="18"/>
                <w:szCs w:val="18"/>
                <w:lang w:val="uk-UA"/>
              </w:rPr>
            </w:pPr>
            <w:r w:rsidRPr="00932F66">
              <w:rPr>
                <w:b/>
                <w:bCs/>
                <w:sz w:val="18"/>
                <w:szCs w:val="18"/>
                <w:lang w:val="uk-UA"/>
              </w:rPr>
              <w:t>3</w:t>
            </w:r>
          </w:p>
        </w:tc>
        <w:tc>
          <w:tcPr>
            <w:tcW w:w="1480" w:type="dxa"/>
            <w:tcBorders>
              <w:top w:val="single" w:sz="8" w:space="0" w:color="auto"/>
              <w:left w:val="nil"/>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b/>
                <w:bCs/>
                <w:sz w:val="18"/>
                <w:szCs w:val="18"/>
                <w:lang w:val="uk-UA"/>
              </w:rPr>
            </w:pPr>
            <w:r w:rsidRPr="00932F66">
              <w:rPr>
                <w:b/>
                <w:bCs/>
                <w:sz w:val="18"/>
                <w:szCs w:val="18"/>
                <w:lang w:val="uk-UA"/>
              </w:rPr>
              <w:t>4</w:t>
            </w:r>
          </w:p>
        </w:tc>
      </w:tr>
      <w:tr w:rsidR="000D5754" w:rsidRPr="00932F66" w:rsidTr="00D32167">
        <w:trPr>
          <w:trHeight w:val="747"/>
        </w:trPr>
        <w:tc>
          <w:tcPr>
            <w:tcW w:w="520" w:type="dxa"/>
            <w:tcBorders>
              <w:top w:val="nil"/>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lang w:val="uk-UA"/>
              </w:rPr>
            </w:pPr>
            <w:r w:rsidRPr="00932F66">
              <w:rPr>
                <w:lang w:val="uk-UA"/>
              </w:rPr>
              <w:t>1</w:t>
            </w:r>
          </w:p>
        </w:tc>
        <w:tc>
          <w:tcPr>
            <w:tcW w:w="3360" w:type="dxa"/>
            <w:tcBorders>
              <w:top w:val="nil"/>
              <w:left w:val="nil"/>
              <w:bottom w:val="single" w:sz="8" w:space="0" w:color="auto"/>
              <w:right w:val="single" w:sz="8" w:space="0" w:color="auto"/>
            </w:tcBorders>
            <w:vAlign w:val="bottom"/>
            <w:hideMark/>
          </w:tcPr>
          <w:p w:rsidR="000D5754" w:rsidRPr="00932F66" w:rsidRDefault="000D5754" w:rsidP="004A7977">
            <w:pPr>
              <w:spacing w:before="240" w:line="276" w:lineRule="auto"/>
              <w:rPr>
                <w:b/>
                <w:bCs/>
                <w:lang w:val="uk-UA"/>
              </w:rPr>
            </w:pPr>
            <w:r w:rsidRPr="00932F66">
              <w:rPr>
                <w:b/>
                <w:bCs/>
                <w:lang w:val="uk-UA"/>
              </w:rPr>
              <w:t>За подання до адміністративного суду скарг, заяв – усього, в тому числі</w:t>
            </w:r>
          </w:p>
        </w:tc>
        <w:tc>
          <w:tcPr>
            <w:tcW w:w="140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b/>
                <w:bCs/>
                <w:sz w:val="26"/>
                <w:szCs w:val="26"/>
                <w:lang w:val="uk-UA"/>
              </w:rPr>
            </w:pPr>
            <w:r w:rsidRPr="00932F66">
              <w:rPr>
                <w:b/>
                <w:bCs/>
                <w:sz w:val="26"/>
                <w:szCs w:val="26"/>
                <w:lang w:val="uk-UA"/>
              </w:rPr>
              <w:t>3 301</w:t>
            </w:r>
          </w:p>
        </w:tc>
        <w:tc>
          <w:tcPr>
            <w:tcW w:w="1823"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b/>
                <w:bCs/>
                <w:sz w:val="26"/>
                <w:szCs w:val="26"/>
                <w:lang w:val="uk-UA"/>
              </w:rPr>
            </w:pPr>
            <w:r w:rsidRPr="00932F66">
              <w:rPr>
                <w:b/>
                <w:lang w:val="uk-UA"/>
              </w:rPr>
              <w:t>16 000 258</w:t>
            </w:r>
          </w:p>
        </w:tc>
        <w:tc>
          <w:tcPr>
            <w:tcW w:w="1237"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b/>
                <w:bCs/>
                <w:sz w:val="26"/>
                <w:szCs w:val="26"/>
                <w:lang w:val="uk-UA"/>
              </w:rPr>
            </w:pPr>
            <w:r w:rsidRPr="00932F66">
              <w:rPr>
                <w:b/>
                <w:bCs/>
                <w:sz w:val="26"/>
                <w:szCs w:val="26"/>
                <w:lang w:val="uk-UA"/>
              </w:rPr>
              <w:t>92</w:t>
            </w:r>
          </w:p>
        </w:tc>
        <w:tc>
          <w:tcPr>
            <w:tcW w:w="148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ind w:left="-69"/>
              <w:jc w:val="center"/>
              <w:rPr>
                <w:b/>
                <w:bCs/>
                <w:sz w:val="26"/>
                <w:szCs w:val="26"/>
                <w:lang w:val="uk-UA"/>
              </w:rPr>
            </w:pPr>
            <w:r w:rsidRPr="00932F66">
              <w:rPr>
                <w:b/>
                <w:lang w:val="uk-UA"/>
              </w:rPr>
              <w:t>207 634</w:t>
            </w:r>
          </w:p>
        </w:tc>
      </w:tr>
      <w:tr w:rsidR="000D5754" w:rsidRPr="00932F66" w:rsidTr="00D32167">
        <w:trPr>
          <w:trHeight w:val="364"/>
        </w:trPr>
        <w:tc>
          <w:tcPr>
            <w:tcW w:w="520" w:type="dxa"/>
            <w:tcBorders>
              <w:top w:val="nil"/>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lang w:val="uk-UA"/>
              </w:rPr>
            </w:pPr>
            <w:r w:rsidRPr="00932F66">
              <w:rPr>
                <w:lang w:val="uk-UA"/>
              </w:rPr>
              <w:t>2</w:t>
            </w:r>
          </w:p>
        </w:tc>
        <w:tc>
          <w:tcPr>
            <w:tcW w:w="3360" w:type="dxa"/>
            <w:tcBorders>
              <w:top w:val="nil"/>
              <w:left w:val="nil"/>
              <w:bottom w:val="single" w:sz="8" w:space="0" w:color="auto"/>
              <w:right w:val="single" w:sz="8" w:space="0" w:color="auto"/>
            </w:tcBorders>
            <w:vAlign w:val="bottom"/>
            <w:hideMark/>
          </w:tcPr>
          <w:p w:rsidR="000D5754" w:rsidRPr="00932F66" w:rsidRDefault="000D5754" w:rsidP="004A7977">
            <w:pPr>
              <w:spacing w:before="240" w:line="276" w:lineRule="auto"/>
              <w:rPr>
                <w:lang w:val="uk-UA"/>
              </w:rPr>
            </w:pPr>
            <w:r w:rsidRPr="00932F66">
              <w:rPr>
                <w:lang w:val="uk-UA"/>
              </w:rPr>
              <w:t>адміністративного позову</w:t>
            </w:r>
          </w:p>
        </w:tc>
        <w:tc>
          <w:tcPr>
            <w:tcW w:w="140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0</w:t>
            </w:r>
          </w:p>
        </w:tc>
        <w:tc>
          <w:tcPr>
            <w:tcW w:w="1823"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0</w:t>
            </w:r>
          </w:p>
        </w:tc>
        <w:tc>
          <w:tcPr>
            <w:tcW w:w="1237"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 0</w:t>
            </w:r>
          </w:p>
        </w:tc>
        <w:tc>
          <w:tcPr>
            <w:tcW w:w="148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ind w:left="-69"/>
              <w:jc w:val="center"/>
              <w:rPr>
                <w:sz w:val="26"/>
                <w:szCs w:val="26"/>
                <w:lang w:val="uk-UA"/>
              </w:rPr>
            </w:pPr>
            <w:r w:rsidRPr="00932F66">
              <w:rPr>
                <w:sz w:val="26"/>
                <w:szCs w:val="26"/>
                <w:lang w:val="uk-UA"/>
              </w:rPr>
              <w:t> 0</w:t>
            </w:r>
          </w:p>
        </w:tc>
      </w:tr>
      <w:tr w:rsidR="000D5754" w:rsidRPr="00932F66" w:rsidTr="00D32167">
        <w:trPr>
          <w:trHeight w:val="1635"/>
        </w:trPr>
        <w:tc>
          <w:tcPr>
            <w:tcW w:w="520" w:type="dxa"/>
            <w:tcBorders>
              <w:top w:val="nil"/>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lang w:val="uk-UA"/>
              </w:rPr>
            </w:pPr>
            <w:r w:rsidRPr="00932F66">
              <w:rPr>
                <w:lang w:val="uk-UA"/>
              </w:rPr>
              <w:t>3</w:t>
            </w:r>
          </w:p>
        </w:tc>
        <w:tc>
          <w:tcPr>
            <w:tcW w:w="3360" w:type="dxa"/>
            <w:tcBorders>
              <w:top w:val="nil"/>
              <w:left w:val="nil"/>
              <w:bottom w:val="single" w:sz="8" w:space="0" w:color="auto"/>
              <w:right w:val="single" w:sz="8" w:space="0" w:color="auto"/>
            </w:tcBorders>
            <w:vAlign w:val="bottom"/>
            <w:hideMark/>
          </w:tcPr>
          <w:p w:rsidR="000D5754" w:rsidRPr="00932F66" w:rsidRDefault="000D5754" w:rsidP="004A7977">
            <w:pPr>
              <w:spacing w:before="240" w:line="276" w:lineRule="auto"/>
              <w:rPr>
                <w:lang w:val="uk-UA"/>
              </w:rPr>
            </w:pPr>
            <w:r w:rsidRPr="00932F66">
              <w:rPr>
                <w:lang w:val="uk-UA"/>
              </w:rPr>
              <w:t>апеляційної скарги на рішення суду, заяви про приєднання до апеляційної скарги на рішення суду, заяви про перегляд судового рішення у зв'язку з нововиявленими обставинами</w:t>
            </w:r>
          </w:p>
        </w:tc>
        <w:tc>
          <w:tcPr>
            <w:tcW w:w="140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2841</w:t>
            </w:r>
          </w:p>
        </w:tc>
        <w:tc>
          <w:tcPr>
            <w:tcW w:w="1823"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15 248 297</w:t>
            </w:r>
          </w:p>
        </w:tc>
        <w:tc>
          <w:tcPr>
            <w:tcW w:w="1237"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84</w:t>
            </w:r>
          </w:p>
        </w:tc>
        <w:tc>
          <w:tcPr>
            <w:tcW w:w="148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ind w:left="-69"/>
              <w:jc w:val="center"/>
              <w:rPr>
                <w:sz w:val="26"/>
                <w:szCs w:val="26"/>
                <w:lang w:val="uk-UA"/>
              </w:rPr>
            </w:pPr>
            <w:r w:rsidRPr="00932F66">
              <w:rPr>
                <w:sz w:val="26"/>
                <w:szCs w:val="26"/>
                <w:lang w:val="uk-UA"/>
              </w:rPr>
              <w:t>194 905</w:t>
            </w:r>
          </w:p>
        </w:tc>
      </w:tr>
      <w:tr w:rsidR="000D5754" w:rsidRPr="00932F66" w:rsidTr="00D32167">
        <w:trPr>
          <w:trHeight w:val="930"/>
        </w:trPr>
        <w:tc>
          <w:tcPr>
            <w:tcW w:w="520" w:type="dxa"/>
            <w:tcBorders>
              <w:top w:val="nil"/>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lang w:val="uk-UA"/>
              </w:rPr>
            </w:pPr>
            <w:r w:rsidRPr="00932F66">
              <w:rPr>
                <w:lang w:val="uk-UA"/>
              </w:rPr>
              <w:t>4</w:t>
            </w:r>
          </w:p>
        </w:tc>
        <w:tc>
          <w:tcPr>
            <w:tcW w:w="3360" w:type="dxa"/>
            <w:tcBorders>
              <w:top w:val="nil"/>
              <w:left w:val="nil"/>
              <w:bottom w:val="single" w:sz="8" w:space="0" w:color="auto"/>
              <w:right w:val="single" w:sz="8" w:space="0" w:color="auto"/>
            </w:tcBorders>
            <w:vAlign w:val="bottom"/>
            <w:hideMark/>
          </w:tcPr>
          <w:p w:rsidR="000D5754" w:rsidRPr="00932F66" w:rsidRDefault="000D5754" w:rsidP="004A7977">
            <w:pPr>
              <w:spacing w:before="240" w:line="276" w:lineRule="auto"/>
              <w:rPr>
                <w:lang w:val="uk-UA"/>
              </w:rPr>
            </w:pPr>
            <w:r w:rsidRPr="00932F66">
              <w:rPr>
                <w:lang w:val="uk-UA"/>
              </w:rPr>
              <w:t>апеляційної  скарги на ухвалу суду, заяви про приєднання до апеляційної скарги на ухвалу суду</w:t>
            </w:r>
          </w:p>
        </w:tc>
        <w:tc>
          <w:tcPr>
            <w:tcW w:w="140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456</w:t>
            </w:r>
          </w:p>
        </w:tc>
        <w:tc>
          <w:tcPr>
            <w:tcW w:w="1823"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749 846</w:t>
            </w:r>
          </w:p>
        </w:tc>
        <w:tc>
          <w:tcPr>
            <w:tcW w:w="1237"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8</w:t>
            </w:r>
          </w:p>
        </w:tc>
        <w:tc>
          <w:tcPr>
            <w:tcW w:w="148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ind w:left="-69"/>
              <w:jc w:val="center"/>
              <w:rPr>
                <w:sz w:val="26"/>
                <w:szCs w:val="26"/>
                <w:lang w:val="uk-UA"/>
              </w:rPr>
            </w:pPr>
            <w:r w:rsidRPr="00932F66">
              <w:rPr>
                <w:sz w:val="26"/>
                <w:szCs w:val="26"/>
                <w:lang w:val="uk-UA"/>
              </w:rPr>
              <w:t>12 730</w:t>
            </w:r>
          </w:p>
        </w:tc>
      </w:tr>
      <w:tr w:rsidR="000D5754" w:rsidRPr="00932F66" w:rsidTr="00D32167">
        <w:trPr>
          <w:trHeight w:val="2029"/>
        </w:trPr>
        <w:tc>
          <w:tcPr>
            <w:tcW w:w="520" w:type="dxa"/>
            <w:tcBorders>
              <w:top w:val="nil"/>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lang w:val="uk-UA"/>
              </w:rPr>
            </w:pPr>
            <w:r w:rsidRPr="00932F66">
              <w:rPr>
                <w:lang w:val="uk-UA"/>
              </w:rPr>
              <w:t>5</w:t>
            </w:r>
          </w:p>
        </w:tc>
        <w:tc>
          <w:tcPr>
            <w:tcW w:w="3360" w:type="dxa"/>
            <w:tcBorders>
              <w:top w:val="nil"/>
              <w:left w:val="nil"/>
              <w:bottom w:val="single" w:sz="8" w:space="0" w:color="auto"/>
              <w:right w:val="single" w:sz="8" w:space="0" w:color="auto"/>
            </w:tcBorders>
            <w:vAlign w:val="bottom"/>
            <w:hideMark/>
          </w:tcPr>
          <w:p w:rsidR="000D5754" w:rsidRPr="00932F66" w:rsidRDefault="000D5754" w:rsidP="004A7977">
            <w:pPr>
              <w:spacing w:before="240" w:line="276" w:lineRule="auto"/>
              <w:rPr>
                <w:lang w:val="uk-UA"/>
              </w:rPr>
            </w:pPr>
            <w:r w:rsidRPr="00932F66">
              <w:rPr>
                <w:lang w:val="uk-UA"/>
              </w:rPr>
              <w:t>заяви про забезпечення доказів або позову, заяви про видачу виконавчого документа на підставі рішення іноземного суду, заяви про зміну чи встановлення способу, порядку і строку виконання судового рішення</w:t>
            </w:r>
          </w:p>
        </w:tc>
        <w:tc>
          <w:tcPr>
            <w:tcW w:w="140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4</w:t>
            </w:r>
          </w:p>
        </w:tc>
        <w:tc>
          <w:tcPr>
            <w:tcW w:w="1823"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2 114</w:t>
            </w:r>
          </w:p>
        </w:tc>
        <w:tc>
          <w:tcPr>
            <w:tcW w:w="1237"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0 </w:t>
            </w:r>
          </w:p>
        </w:tc>
        <w:tc>
          <w:tcPr>
            <w:tcW w:w="148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ind w:left="-69"/>
              <w:jc w:val="center"/>
              <w:rPr>
                <w:sz w:val="26"/>
                <w:szCs w:val="26"/>
                <w:lang w:val="uk-UA"/>
              </w:rPr>
            </w:pPr>
            <w:r w:rsidRPr="00932F66">
              <w:rPr>
                <w:sz w:val="26"/>
                <w:szCs w:val="26"/>
                <w:lang w:val="uk-UA"/>
              </w:rPr>
              <w:t>0 </w:t>
            </w:r>
          </w:p>
        </w:tc>
      </w:tr>
      <w:tr w:rsidR="000D5754" w:rsidRPr="00932F66" w:rsidTr="00D32167">
        <w:trPr>
          <w:trHeight w:val="444"/>
        </w:trPr>
        <w:tc>
          <w:tcPr>
            <w:tcW w:w="520" w:type="dxa"/>
            <w:tcBorders>
              <w:top w:val="nil"/>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lang w:val="uk-UA"/>
              </w:rPr>
            </w:pPr>
            <w:r w:rsidRPr="00932F66">
              <w:rPr>
                <w:lang w:val="uk-UA"/>
              </w:rPr>
              <w:t>6</w:t>
            </w:r>
          </w:p>
        </w:tc>
        <w:tc>
          <w:tcPr>
            <w:tcW w:w="3360" w:type="dxa"/>
            <w:tcBorders>
              <w:top w:val="nil"/>
              <w:left w:val="nil"/>
              <w:bottom w:val="single" w:sz="8" w:space="0" w:color="auto"/>
              <w:right w:val="single" w:sz="8" w:space="0" w:color="auto"/>
            </w:tcBorders>
            <w:vAlign w:val="bottom"/>
            <w:hideMark/>
          </w:tcPr>
          <w:p w:rsidR="000D5754" w:rsidRPr="00932F66" w:rsidRDefault="000D5754" w:rsidP="004A7977">
            <w:pPr>
              <w:spacing w:before="240" w:line="276" w:lineRule="auto"/>
              <w:rPr>
                <w:b/>
                <w:bCs/>
                <w:lang w:val="uk-UA"/>
              </w:rPr>
            </w:pPr>
            <w:r w:rsidRPr="00932F66">
              <w:rPr>
                <w:b/>
                <w:bCs/>
                <w:lang w:val="uk-UA"/>
              </w:rPr>
              <w:t xml:space="preserve">4. За видачу судами документів – усього, в тому </w:t>
            </w:r>
            <w:r w:rsidRPr="00932F66">
              <w:rPr>
                <w:b/>
                <w:bCs/>
                <w:lang w:val="uk-UA"/>
              </w:rPr>
              <w:lastRenderedPageBreak/>
              <w:t>числі</w:t>
            </w:r>
          </w:p>
        </w:tc>
        <w:tc>
          <w:tcPr>
            <w:tcW w:w="140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b/>
                <w:bCs/>
                <w:sz w:val="26"/>
                <w:szCs w:val="26"/>
                <w:lang w:val="uk-UA"/>
              </w:rPr>
            </w:pPr>
            <w:r w:rsidRPr="00932F66">
              <w:rPr>
                <w:b/>
                <w:bCs/>
                <w:sz w:val="26"/>
                <w:szCs w:val="26"/>
                <w:lang w:val="uk-UA"/>
              </w:rPr>
              <w:lastRenderedPageBreak/>
              <w:t>61</w:t>
            </w:r>
          </w:p>
        </w:tc>
        <w:tc>
          <w:tcPr>
            <w:tcW w:w="1823"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b/>
                <w:bCs/>
                <w:sz w:val="26"/>
                <w:szCs w:val="26"/>
                <w:lang w:val="uk-UA"/>
              </w:rPr>
            </w:pPr>
            <w:r w:rsidRPr="00932F66">
              <w:rPr>
                <w:b/>
                <w:bCs/>
                <w:sz w:val="26"/>
                <w:szCs w:val="26"/>
                <w:lang w:val="uk-UA"/>
              </w:rPr>
              <w:t>3853</w:t>
            </w:r>
          </w:p>
        </w:tc>
        <w:tc>
          <w:tcPr>
            <w:tcW w:w="1237"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b/>
                <w:bCs/>
                <w:sz w:val="26"/>
                <w:szCs w:val="26"/>
                <w:lang w:val="uk-UA"/>
              </w:rPr>
            </w:pPr>
            <w:r w:rsidRPr="00932F66">
              <w:rPr>
                <w:b/>
                <w:bCs/>
                <w:sz w:val="26"/>
                <w:szCs w:val="26"/>
                <w:lang w:val="uk-UA"/>
              </w:rPr>
              <w:t>0</w:t>
            </w:r>
          </w:p>
        </w:tc>
        <w:tc>
          <w:tcPr>
            <w:tcW w:w="148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ind w:left="-69"/>
              <w:jc w:val="center"/>
              <w:rPr>
                <w:b/>
                <w:bCs/>
                <w:sz w:val="26"/>
                <w:szCs w:val="26"/>
                <w:lang w:val="uk-UA"/>
              </w:rPr>
            </w:pPr>
            <w:r w:rsidRPr="00932F66">
              <w:rPr>
                <w:b/>
                <w:bCs/>
                <w:sz w:val="26"/>
                <w:szCs w:val="26"/>
                <w:lang w:val="uk-UA"/>
              </w:rPr>
              <w:t>0</w:t>
            </w:r>
          </w:p>
        </w:tc>
      </w:tr>
      <w:tr w:rsidR="000D5754" w:rsidRPr="00932F66" w:rsidTr="00D32167">
        <w:trPr>
          <w:trHeight w:val="600"/>
        </w:trPr>
        <w:tc>
          <w:tcPr>
            <w:tcW w:w="520" w:type="dxa"/>
            <w:tcBorders>
              <w:top w:val="nil"/>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lang w:val="uk-UA"/>
              </w:rPr>
            </w:pPr>
            <w:r w:rsidRPr="00932F66">
              <w:rPr>
                <w:lang w:val="uk-UA"/>
              </w:rPr>
              <w:lastRenderedPageBreak/>
              <w:t>7</w:t>
            </w:r>
          </w:p>
        </w:tc>
        <w:tc>
          <w:tcPr>
            <w:tcW w:w="3360" w:type="dxa"/>
            <w:tcBorders>
              <w:top w:val="nil"/>
              <w:left w:val="nil"/>
              <w:bottom w:val="single" w:sz="8" w:space="0" w:color="auto"/>
              <w:right w:val="single" w:sz="8" w:space="0" w:color="auto"/>
            </w:tcBorders>
            <w:vAlign w:val="bottom"/>
            <w:hideMark/>
          </w:tcPr>
          <w:p w:rsidR="000D5754" w:rsidRPr="00932F66" w:rsidRDefault="000D5754" w:rsidP="004A7977">
            <w:pPr>
              <w:spacing w:before="240" w:line="276" w:lineRule="auto"/>
              <w:rPr>
                <w:lang w:val="uk-UA"/>
              </w:rPr>
            </w:pPr>
            <w:r w:rsidRPr="00932F66">
              <w:rPr>
                <w:lang w:val="uk-UA"/>
              </w:rPr>
              <w:t>за повторну видачу копії судового рішення</w:t>
            </w:r>
          </w:p>
        </w:tc>
        <w:tc>
          <w:tcPr>
            <w:tcW w:w="140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15</w:t>
            </w:r>
          </w:p>
        </w:tc>
        <w:tc>
          <w:tcPr>
            <w:tcW w:w="1823"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490</w:t>
            </w:r>
          </w:p>
        </w:tc>
        <w:tc>
          <w:tcPr>
            <w:tcW w:w="1237"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 0</w:t>
            </w:r>
          </w:p>
        </w:tc>
        <w:tc>
          <w:tcPr>
            <w:tcW w:w="148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ind w:left="-69"/>
              <w:jc w:val="center"/>
              <w:rPr>
                <w:sz w:val="26"/>
                <w:szCs w:val="26"/>
                <w:lang w:val="uk-UA"/>
              </w:rPr>
            </w:pPr>
            <w:r w:rsidRPr="00932F66">
              <w:rPr>
                <w:sz w:val="26"/>
                <w:szCs w:val="26"/>
                <w:lang w:val="uk-UA"/>
              </w:rPr>
              <w:t> 0</w:t>
            </w:r>
          </w:p>
        </w:tc>
      </w:tr>
      <w:tr w:rsidR="000D5754" w:rsidRPr="00932F66" w:rsidTr="00D32167">
        <w:trPr>
          <w:trHeight w:val="747"/>
        </w:trPr>
        <w:tc>
          <w:tcPr>
            <w:tcW w:w="520" w:type="dxa"/>
            <w:tcBorders>
              <w:top w:val="nil"/>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lang w:val="uk-UA"/>
              </w:rPr>
            </w:pPr>
            <w:r w:rsidRPr="00932F66">
              <w:rPr>
                <w:lang w:val="uk-UA"/>
              </w:rPr>
              <w:t>8</w:t>
            </w:r>
          </w:p>
        </w:tc>
        <w:tc>
          <w:tcPr>
            <w:tcW w:w="3360" w:type="dxa"/>
            <w:tcBorders>
              <w:top w:val="nil"/>
              <w:left w:val="nil"/>
              <w:bottom w:val="single" w:sz="8" w:space="0" w:color="auto"/>
              <w:right w:val="single" w:sz="8" w:space="0" w:color="auto"/>
            </w:tcBorders>
            <w:vAlign w:val="bottom"/>
            <w:hideMark/>
          </w:tcPr>
          <w:p w:rsidR="000D5754" w:rsidRPr="00932F66" w:rsidRDefault="000D5754" w:rsidP="004A7977">
            <w:pPr>
              <w:spacing w:before="240" w:line="276" w:lineRule="auto"/>
              <w:rPr>
                <w:lang w:val="uk-UA"/>
              </w:rPr>
            </w:pPr>
            <w:r w:rsidRPr="00932F66">
              <w:rPr>
                <w:lang w:val="uk-UA"/>
              </w:rPr>
              <w:t>за видачу в електронному вигляді копії технічного запису судового засідання</w:t>
            </w:r>
          </w:p>
        </w:tc>
        <w:tc>
          <w:tcPr>
            <w:tcW w:w="140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33</w:t>
            </w:r>
          </w:p>
        </w:tc>
        <w:tc>
          <w:tcPr>
            <w:tcW w:w="1823"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1847</w:t>
            </w:r>
          </w:p>
        </w:tc>
        <w:tc>
          <w:tcPr>
            <w:tcW w:w="1237"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 0</w:t>
            </w:r>
          </w:p>
        </w:tc>
        <w:tc>
          <w:tcPr>
            <w:tcW w:w="148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ind w:left="-69"/>
              <w:jc w:val="center"/>
              <w:rPr>
                <w:sz w:val="26"/>
                <w:szCs w:val="26"/>
                <w:lang w:val="uk-UA"/>
              </w:rPr>
            </w:pPr>
            <w:r w:rsidRPr="00932F66">
              <w:rPr>
                <w:sz w:val="26"/>
                <w:szCs w:val="26"/>
                <w:lang w:val="uk-UA"/>
              </w:rPr>
              <w:t>0 </w:t>
            </w:r>
          </w:p>
        </w:tc>
      </w:tr>
      <w:tr w:rsidR="000D5754" w:rsidRPr="00932F66" w:rsidTr="00D32167">
        <w:trPr>
          <w:trHeight w:val="2776"/>
        </w:trPr>
        <w:tc>
          <w:tcPr>
            <w:tcW w:w="520" w:type="dxa"/>
            <w:tcBorders>
              <w:top w:val="nil"/>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lang w:val="uk-UA"/>
              </w:rPr>
            </w:pPr>
            <w:r w:rsidRPr="00932F66">
              <w:rPr>
                <w:lang w:val="uk-UA"/>
              </w:rPr>
              <w:t>9</w:t>
            </w:r>
          </w:p>
        </w:tc>
        <w:tc>
          <w:tcPr>
            <w:tcW w:w="3360" w:type="dxa"/>
            <w:tcBorders>
              <w:top w:val="nil"/>
              <w:left w:val="nil"/>
              <w:bottom w:val="single" w:sz="8" w:space="0" w:color="auto"/>
              <w:right w:val="single" w:sz="8" w:space="0" w:color="auto"/>
            </w:tcBorders>
            <w:vAlign w:val="bottom"/>
            <w:hideMark/>
          </w:tcPr>
          <w:p w:rsidR="000D5754" w:rsidRPr="00932F66" w:rsidRDefault="000D5754" w:rsidP="004A7977">
            <w:pPr>
              <w:spacing w:before="240" w:line="276" w:lineRule="auto"/>
              <w:rPr>
                <w:lang w:val="uk-UA"/>
              </w:rPr>
            </w:pPr>
            <w:r w:rsidRPr="00932F66">
              <w:rPr>
                <w:lang w:val="uk-UA"/>
              </w:rPr>
              <w:t>за виготовлення копії судового рішення у разі, якщо особа, яка не бере (не брала) участі у справі, якщо судове рішення безпосередньо стосується її прав, свобод, інтересів чи обов’язків, звертається до апарату відповідного суду з письмовою заявою про виготовлення такої копії згідно із Законом України «Про доступ до судових рішень»</w:t>
            </w:r>
          </w:p>
        </w:tc>
        <w:tc>
          <w:tcPr>
            <w:tcW w:w="140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0</w:t>
            </w:r>
          </w:p>
        </w:tc>
        <w:tc>
          <w:tcPr>
            <w:tcW w:w="1823"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0</w:t>
            </w:r>
          </w:p>
        </w:tc>
        <w:tc>
          <w:tcPr>
            <w:tcW w:w="1237"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 0</w:t>
            </w:r>
          </w:p>
        </w:tc>
        <w:tc>
          <w:tcPr>
            <w:tcW w:w="148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ind w:left="-69"/>
              <w:jc w:val="center"/>
              <w:rPr>
                <w:sz w:val="26"/>
                <w:szCs w:val="26"/>
                <w:lang w:val="uk-UA"/>
              </w:rPr>
            </w:pPr>
            <w:r w:rsidRPr="00932F66">
              <w:rPr>
                <w:sz w:val="26"/>
                <w:szCs w:val="26"/>
                <w:lang w:val="uk-UA"/>
              </w:rPr>
              <w:t> 0</w:t>
            </w:r>
          </w:p>
        </w:tc>
      </w:tr>
      <w:tr w:rsidR="000D5754" w:rsidRPr="00932F66" w:rsidTr="00D32167">
        <w:trPr>
          <w:trHeight w:val="534"/>
        </w:trPr>
        <w:tc>
          <w:tcPr>
            <w:tcW w:w="520" w:type="dxa"/>
            <w:tcBorders>
              <w:top w:val="nil"/>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lang w:val="uk-UA"/>
              </w:rPr>
            </w:pPr>
            <w:r w:rsidRPr="00932F66">
              <w:rPr>
                <w:lang w:val="uk-UA"/>
              </w:rPr>
              <w:t>10</w:t>
            </w:r>
          </w:p>
        </w:tc>
        <w:tc>
          <w:tcPr>
            <w:tcW w:w="3360" w:type="dxa"/>
            <w:tcBorders>
              <w:top w:val="nil"/>
              <w:left w:val="nil"/>
              <w:bottom w:val="single" w:sz="8" w:space="0" w:color="auto"/>
              <w:right w:val="single" w:sz="8" w:space="0" w:color="auto"/>
            </w:tcBorders>
            <w:vAlign w:val="bottom"/>
            <w:hideMark/>
          </w:tcPr>
          <w:p w:rsidR="000D5754" w:rsidRPr="00932F66" w:rsidRDefault="000D5754" w:rsidP="004A7977">
            <w:pPr>
              <w:spacing w:before="240" w:line="276" w:lineRule="auto"/>
              <w:rPr>
                <w:lang w:val="uk-UA"/>
              </w:rPr>
            </w:pPr>
            <w:r w:rsidRPr="00932F66">
              <w:rPr>
                <w:lang w:val="uk-UA"/>
              </w:rPr>
              <w:t>за виготовлення копій документів, долучених до справи</w:t>
            </w:r>
          </w:p>
        </w:tc>
        <w:tc>
          <w:tcPr>
            <w:tcW w:w="140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13</w:t>
            </w:r>
          </w:p>
        </w:tc>
        <w:tc>
          <w:tcPr>
            <w:tcW w:w="1823"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1517</w:t>
            </w:r>
          </w:p>
        </w:tc>
        <w:tc>
          <w:tcPr>
            <w:tcW w:w="1237"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sz w:val="26"/>
                <w:szCs w:val="26"/>
                <w:lang w:val="uk-UA"/>
              </w:rPr>
            </w:pPr>
            <w:r w:rsidRPr="00932F66">
              <w:rPr>
                <w:sz w:val="26"/>
                <w:szCs w:val="26"/>
                <w:lang w:val="uk-UA"/>
              </w:rPr>
              <w:t> 0</w:t>
            </w:r>
          </w:p>
        </w:tc>
        <w:tc>
          <w:tcPr>
            <w:tcW w:w="148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ind w:left="-69"/>
              <w:jc w:val="center"/>
              <w:rPr>
                <w:sz w:val="26"/>
                <w:szCs w:val="26"/>
                <w:lang w:val="uk-UA"/>
              </w:rPr>
            </w:pPr>
            <w:r w:rsidRPr="00932F66">
              <w:rPr>
                <w:sz w:val="26"/>
                <w:szCs w:val="26"/>
                <w:lang w:val="uk-UA"/>
              </w:rPr>
              <w:t> 0</w:t>
            </w:r>
          </w:p>
        </w:tc>
      </w:tr>
      <w:tr w:rsidR="000D5754" w:rsidRPr="00932F66" w:rsidTr="00D32167">
        <w:trPr>
          <w:trHeight w:val="390"/>
        </w:trPr>
        <w:tc>
          <w:tcPr>
            <w:tcW w:w="520" w:type="dxa"/>
            <w:tcBorders>
              <w:top w:val="nil"/>
              <w:left w:val="single" w:sz="8" w:space="0" w:color="auto"/>
              <w:bottom w:val="single" w:sz="8" w:space="0" w:color="auto"/>
              <w:right w:val="single" w:sz="8" w:space="0" w:color="auto"/>
            </w:tcBorders>
            <w:noWrap/>
            <w:vAlign w:val="bottom"/>
            <w:hideMark/>
          </w:tcPr>
          <w:p w:rsidR="000D5754" w:rsidRPr="00932F66" w:rsidRDefault="000D5754" w:rsidP="004A7977">
            <w:pPr>
              <w:spacing w:before="240" w:line="276" w:lineRule="auto"/>
              <w:jc w:val="center"/>
              <w:rPr>
                <w:lang w:val="uk-UA"/>
              </w:rPr>
            </w:pPr>
            <w:r w:rsidRPr="00932F66">
              <w:rPr>
                <w:lang w:val="uk-UA"/>
              </w:rPr>
              <w:t>11</w:t>
            </w:r>
          </w:p>
        </w:tc>
        <w:tc>
          <w:tcPr>
            <w:tcW w:w="3360" w:type="dxa"/>
            <w:tcBorders>
              <w:top w:val="nil"/>
              <w:left w:val="nil"/>
              <w:bottom w:val="single" w:sz="8" w:space="0" w:color="auto"/>
              <w:right w:val="single" w:sz="8" w:space="0" w:color="auto"/>
            </w:tcBorders>
            <w:vAlign w:val="bottom"/>
            <w:hideMark/>
          </w:tcPr>
          <w:p w:rsidR="000D5754" w:rsidRPr="00932F66" w:rsidRDefault="000D5754" w:rsidP="004A7977">
            <w:pPr>
              <w:spacing w:before="240" w:line="276" w:lineRule="auto"/>
              <w:rPr>
                <w:b/>
                <w:bCs/>
                <w:lang w:val="uk-UA"/>
              </w:rPr>
            </w:pPr>
            <w:r w:rsidRPr="00932F66">
              <w:rPr>
                <w:b/>
                <w:bCs/>
                <w:lang w:val="uk-UA"/>
              </w:rPr>
              <w:t>УСЬОГО</w:t>
            </w:r>
          </w:p>
        </w:tc>
        <w:tc>
          <w:tcPr>
            <w:tcW w:w="140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b/>
                <w:bCs/>
                <w:sz w:val="26"/>
                <w:szCs w:val="26"/>
                <w:lang w:val="uk-UA"/>
              </w:rPr>
            </w:pPr>
            <w:r w:rsidRPr="00932F66">
              <w:rPr>
                <w:b/>
                <w:bCs/>
                <w:sz w:val="26"/>
                <w:szCs w:val="26"/>
                <w:lang w:val="uk-UA"/>
              </w:rPr>
              <w:t>3 362</w:t>
            </w:r>
          </w:p>
        </w:tc>
        <w:tc>
          <w:tcPr>
            <w:tcW w:w="1823"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b/>
                <w:bCs/>
                <w:sz w:val="26"/>
                <w:szCs w:val="26"/>
                <w:lang w:val="uk-UA"/>
              </w:rPr>
            </w:pPr>
            <w:r w:rsidRPr="00932F66">
              <w:rPr>
                <w:b/>
                <w:bCs/>
                <w:sz w:val="26"/>
                <w:szCs w:val="26"/>
                <w:lang w:val="uk-UA"/>
              </w:rPr>
              <w:t>16 004 111</w:t>
            </w:r>
          </w:p>
        </w:tc>
        <w:tc>
          <w:tcPr>
            <w:tcW w:w="1237"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b/>
                <w:bCs/>
                <w:sz w:val="26"/>
                <w:szCs w:val="26"/>
                <w:lang w:val="uk-UA"/>
              </w:rPr>
            </w:pPr>
            <w:r w:rsidRPr="00932F66">
              <w:rPr>
                <w:b/>
                <w:bCs/>
                <w:sz w:val="26"/>
                <w:szCs w:val="26"/>
                <w:lang w:val="uk-UA"/>
              </w:rPr>
              <w:t>92</w:t>
            </w:r>
          </w:p>
        </w:tc>
        <w:tc>
          <w:tcPr>
            <w:tcW w:w="1480" w:type="dxa"/>
            <w:tcBorders>
              <w:top w:val="nil"/>
              <w:left w:val="nil"/>
              <w:bottom w:val="single" w:sz="8" w:space="0" w:color="auto"/>
              <w:right w:val="single" w:sz="8" w:space="0" w:color="auto"/>
            </w:tcBorders>
            <w:noWrap/>
            <w:vAlign w:val="center"/>
            <w:hideMark/>
          </w:tcPr>
          <w:p w:rsidR="000D5754" w:rsidRPr="00932F66" w:rsidRDefault="000D5754" w:rsidP="004A7977">
            <w:pPr>
              <w:spacing w:before="240" w:line="276" w:lineRule="auto"/>
              <w:jc w:val="center"/>
              <w:rPr>
                <w:b/>
                <w:bCs/>
                <w:sz w:val="26"/>
                <w:szCs w:val="26"/>
                <w:lang w:val="uk-UA"/>
              </w:rPr>
            </w:pPr>
            <w:r w:rsidRPr="00932F66">
              <w:rPr>
                <w:b/>
                <w:bCs/>
                <w:sz w:val="26"/>
                <w:szCs w:val="26"/>
                <w:lang w:val="uk-UA"/>
              </w:rPr>
              <w:t>207 634</w:t>
            </w:r>
          </w:p>
        </w:tc>
      </w:tr>
    </w:tbl>
    <w:p w:rsidR="000D5754" w:rsidRPr="00932F66" w:rsidRDefault="000D5754" w:rsidP="004A7977">
      <w:pPr>
        <w:pStyle w:val="aa"/>
        <w:spacing w:before="240" w:line="276" w:lineRule="auto"/>
        <w:ind w:firstLine="708"/>
        <w:jc w:val="both"/>
        <w:rPr>
          <w:b w:val="0"/>
        </w:rPr>
      </w:pPr>
      <w:r w:rsidRPr="00932F66">
        <w:rPr>
          <w:b w:val="0"/>
        </w:rPr>
        <w:t xml:space="preserve">У звітному періоді </w:t>
      </w:r>
      <w:r w:rsidRPr="00932F66">
        <w:rPr>
          <w:b w:val="0"/>
          <w:i/>
        </w:rPr>
        <w:t>присуджено до стягнення</w:t>
      </w:r>
      <w:r w:rsidRPr="00932F66">
        <w:rPr>
          <w:b w:val="0"/>
        </w:rPr>
        <w:t xml:space="preserve"> за рішенням суду в Державний бюджет </w:t>
      </w:r>
      <w:r w:rsidRPr="00932F66">
        <w:t>2 517 702</w:t>
      </w:r>
      <w:r w:rsidRPr="00932F66">
        <w:rPr>
          <w:b w:val="0"/>
        </w:rPr>
        <w:t xml:space="preserve"> гривень за подання до адміністративного суду </w:t>
      </w:r>
      <w:r w:rsidRPr="00932F66">
        <w:t>25</w:t>
      </w:r>
      <w:r w:rsidRPr="00932F66">
        <w:rPr>
          <w:b w:val="0"/>
        </w:rPr>
        <w:t xml:space="preserve"> заяв (скарг).</w:t>
      </w:r>
    </w:p>
    <w:p w:rsidR="000D5754" w:rsidRPr="00932F66" w:rsidRDefault="000D5754" w:rsidP="004A7977">
      <w:pPr>
        <w:pStyle w:val="aa"/>
        <w:spacing w:before="240" w:line="276" w:lineRule="auto"/>
        <w:ind w:firstLine="708"/>
        <w:jc w:val="both"/>
        <w:rPr>
          <w:b w:val="0"/>
        </w:rPr>
      </w:pPr>
      <w:r w:rsidRPr="00932F66">
        <w:rPr>
          <w:b w:val="0"/>
          <w:i/>
        </w:rPr>
        <w:t xml:space="preserve"> Розрахункова сума судового збору</w:t>
      </w:r>
      <w:r w:rsidRPr="00932F66">
        <w:rPr>
          <w:b w:val="0"/>
        </w:rPr>
        <w:t xml:space="preserve"> відповідно до діючих ставок у звітному періоді склала </w:t>
      </w:r>
      <w:r w:rsidRPr="00932F66">
        <w:t xml:space="preserve">19 478 510 </w:t>
      </w:r>
      <w:r w:rsidRPr="00932F66">
        <w:rPr>
          <w:b w:val="0"/>
        </w:rPr>
        <w:t xml:space="preserve">гривень (в тому числі 3 552 гривень за заяви, скарги, видачу документів). З наведеного випливає, що за одиницю об’єкта справляння судового збору у 2018 році підлягало сплаті </w:t>
      </w:r>
      <w:r w:rsidRPr="00932F66">
        <w:rPr>
          <w:lang w:val="ru-RU"/>
        </w:rPr>
        <w:t>5</w:t>
      </w:r>
      <w:r w:rsidRPr="00932F66">
        <w:t>793,73</w:t>
      </w:r>
      <w:r w:rsidRPr="00932F66">
        <w:rPr>
          <w:b w:val="0"/>
        </w:rPr>
        <w:t xml:space="preserve"> гривень.</w:t>
      </w:r>
    </w:p>
    <w:p w:rsidR="000D5754" w:rsidRPr="00932F66" w:rsidRDefault="000D5754" w:rsidP="004A7977">
      <w:pPr>
        <w:pStyle w:val="aa"/>
        <w:spacing w:before="240" w:line="276" w:lineRule="auto"/>
        <w:ind w:firstLine="708"/>
        <w:jc w:val="both"/>
        <w:rPr>
          <w:b w:val="0"/>
        </w:rPr>
      </w:pPr>
      <w:r w:rsidRPr="00932F66">
        <w:rPr>
          <w:b w:val="0"/>
        </w:rPr>
        <w:t xml:space="preserve">У 2018 році було </w:t>
      </w:r>
      <w:r w:rsidRPr="00932F66">
        <w:rPr>
          <w:b w:val="0"/>
          <w:i/>
        </w:rPr>
        <w:t>звільнено від сплати</w:t>
      </w:r>
      <w:r w:rsidRPr="00932F66">
        <w:rPr>
          <w:b w:val="0"/>
        </w:rPr>
        <w:t xml:space="preserve"> судового збору за </w:t>
      </w:r>
      <w:r w:rsidRPr="00932F66">
        <w:t xml:space="preserve">664 </w:t>
      </w:r>
      <w:r w:rsidRPr="00932F66">
        <w:rPr>
          <w:b w:val="0"/>
        </w:rPr>
        <w:t xml:space="preserve">заяви (скарги) на суму </w:t>
      </w:r>
      <w:r w:rsidRPr="00932F66">
        <w:t>843 211</w:t>
      </w:r>
      <w:r w:rsidRPr="00932F66">
        <w:rPr>
          <w:b w:val="0"/>
        </w:rPr>
        <w:t xml:space="preserve"> гривень. </w:t>
      </w:r>
    </w:p>
    <w:p w:rsidR="000D5754" w:rsidRPr="00932F66" w:rsidRDefault="000D5754" w:rsidP="004A7977">
      <w:pPr>
        <w:shd w:val="clear" w:color="auto" w:fill="FFFFFF"/>
        <w:tabs>
          <w:tab w:val="left" w:leader="underscore" w:pos="2088"/>
          <w:tab w:val="left" w:leader="underscore" w:pos="4284"/>
        </w:tabs>
        <w:spacing w:before="240" w:line="276" w:lineRule="auto"/>
        <w:ind w:firstLine="709"/>
        <w:jc w:val="both"/>
        <w:rPr>
          <w:sz w:val="28"/>
          <w:szCs w:val="28"/>
          <w:lang w:val="uk-UA"/>
        </w:rPr>
      </w:pPr>
      <w:r w:rsidRPr="00932F66">
        <w:rPr>
          <w:sz w:val="28"/>
          <w:szCs w:val="28"/>
          <w:lang w:val="uk-UA"/>
        </w:rPr>
        <w:t xml:space="preserve">Змінами від 07.09.2016, 20.09.2016 та 06.12.2016 до Закону України «Про судовий збір» </w:t>
      </w:r>
      <w:r w:rsidRPr="00932F66">
        <w:rPr>
          <w:b/>
          <w:i/>
          <w:sz w:val="28"/>
          <w:szCs w:val="28"/>
          <w:lang w:val="uk-UA"/>
        </w:rPr>
        <w:t>істотно доповнено систему пільг</w:t>
      </w:r>
      <w:r w:rsidRPr="00932F66">
        <w:rPr>
          <w:sz w:val="28"/>
          <w:szCs w:val="28"/>
          <w:lang w:val="uk-UA"/>
        </w:rPr>
        <w:t xml:space="preserve"> щодо сплати судового збору, зокрема:</w:t>
      </w:r>
    </w:p>
    <w:p w:rsidR="000D5754" w:rsidRPr="00932F66" w:rsidRDefault="000D5754" w:rsidP="004A7977">
      <w:pPr>
        <w:pStyle w:val="a9"/>
        <w:shd w:val="clear" w:color="auto" w:fill="FFFFFF"/>
        <w:tabs>
          <w:tab w:val="left" w:leader="underscore" w:pos="2088"/>
          <w:tab w:val="left" w:leader="underscore" w:pos="4284"/>
        </w:tabs>
        <w:spacing w:before="240" w:after="0"/>
        <w:ind w:left="0"/>
        <w:jc w:val="both"/>
        <w:rPr>
          <w:rFonts w:ascii="Times New Roman" w:hAnsi="Times New Roman"/>
          <w:sz w:val="28"/>
          <w:szCs w:val="28"/>
          <w:lang w:val="uk-UA"/>
        </w:rPr>
      </w:pPr>
      <w:r w:rsidRPr="00932F66">
        <w:rPr>
          <w:rFonts w:ascii="Times New Roman" w:hAnsi="Times New Roman"/>
          <w:sz w:val="28"/>
          <w:szCs w:val="28"/>
          <w:lang w:val="uk-UA"/>
        </w:rPr>
        <w:lastRenderedPageBreak/>
        <w:t>- органи місцевого самоврядування – за подання заяви про визнання спадщини відумерлою;</w:t>
      </w:r>
    </w:p>
    <w:p w:rsidR="000D5754" w:rsidRPr="00932F66" w:rsidRDefault="000D5754" w:rsidP="004A7977">
      <w:pPr>
        <w:pStyle w:val="a9"/>
        <w:shd w:val="clear" w:color="auto" w:fill="FFFFFF"/>
        <w:tabs>
          <w:tab w:val="left" w:leader="underscore" w:pos="2088"/>
          <w:tab w:val="left" w:leader="underscore" w:pos="4284"/>
        </w:tabs>
        <w:spacing w:before="240" w:after="0"/>
        <w:ind w:left="0"/>
        <w:jc w:val="both"/>
        <w:rPr>
          <w:rFonts w:ascii="Times New Roman" w:hAnsi="Times New Roman"/>
          <w:sz w:val="28"/>
          <w:szCs w:val="28"/>
          <w:lang w:val="uk-UA"/>
        </w:rPr>
      </w:pPr>
      <w:r w:rsidRPr="00932F66">
        <w:rPr>
          <w:rFonts w:ascii="Times New Roman" w:hAnsi="Times New Roman"/>
          <w:sz w:val="28"/>
          <w:szCs w:val="28"/>
          <w:lang w:val="uk-UA"/>
        </w:rPr>
        <w:t>- засуджені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пов’язаних із питаннями, які вирішуються судом під час виконання вироку відповідно до статті 537 Кримінального процесуального кодексу України, у разі відсутності на їхніх особових рахунках коштів, достатніх для сплати судового збору;</w:t>
      </w:r>
    </w:p>
    <w:p w:rsidR="000D5754" w:rsidRPr="00932F66" w:rsidRDefault="000D5754" w:rsidP="004A7977">
      <w:pPr>
        <w:pStyle w:val="a9"/>
        <w:shd w:val="clear" w:color="auto" w:fill="FFFFFF"/>
        <w:tabs>
          <w:tab w:val="left" w:leader="underscore" w:pos="2088"/>
          <w:tab w:val="left" w:leader="underscore" w:pos="4284"/>
        </w:tabs>
        <w:spacing w:before="240" w:after="0"/>
        <w:ind w:left="0"/>
        <w:jc w:val="both"/>
        <w:rPr>
          <w:rFonts w:ascii="Times New Roman" w:hAnsi="Times New Roman"/>
          <w:sz w:val="28"/>
          <w:szCs w:val="28"/>
          <w:lang w:val="uk-UA"/>
        </w:rPr>
      </w:pPr>
      <w:r w:rsidRPr="00932F66">
        <w:rPr>
          <w:rFonts w:ascii="Times New Roman" w:hAnsi="Times New Roman"/>
          <w:sz w:val="28"/>
          <w:szCs w:val="28"/>
          <w:lang w:val="uk-UA"/>
        </w:rPr>
        <w:t>- Пенсійний фонд України та його органи, органи Фонду загальнообов’язкового державного соціального страхування України на випадок безробіття та Фонду соціального страхування України;</w:t>
      </w:r>
    </w:p>
    <w:p w:rsidR="000D5754" w:rsidRPr="00932F66" w:rsidRDefault="000D5754" w:rsidP="004A7977">
      <w:pPr>
        <w:pStyle w:val="a9"/>
        <w:shd w:val="clear" w:color="auto" w:fill="FFFFFF"/>
        <w:tabs>
          <w:tab w:val="left" w:leader="underscore" w:pos="2088"/>
          <w:tab w:val="left" w:leader="underscore" w:pos="4284"/>
        </w:tabs>
        <w:spacing w:before="240" w:after="0"/>
        <w:ind w:left="0"/>
        <w:jc w:val="both"/>
        <w:rPr>
          <w:rFonts w:ascii="Times New Roman" w:hAnsi="Times New Roman"/>
          <w:sz w:val="28"/>
          <w:szCs w:val="28"/>
          <w:lang w:val="uk-UA"/>
        </w:rPr>
      </w:pPr>
      <w:r w:rsidRPr="00932F66">
        <w:rPr>
          <w:rFonts w:ascii="Times New Roman" w:hAnsi="Times New Roman"/>
          <w:sz w:val="28"/>
          <w:szCs w:val="28"/>
          <w:lang w:val="uk-UA"/>
        </w:rPr>
        <w:t>- органи виконавчої влади Автономної Республіки Крим, структурні підрозділи місцевих державних адміністрацій, виконавчі органи міських рад, на які покладено завдання щодо вирішення питань соціального захисту населення;</w:t>
      </w:r>
    </w:p>
    <w:p w:rsidR="000D5754" w:rsidRPr="00932F66" w:rsidRDefault="000D5754" w:rsidP="004A7977">
      <w:pPr>
        <w:pStyle w:val="a9"/>
        <w:shd w:val="clear" w:color="auto" w:fill="FFFFFF"/>
        <w:tabs>
          <w:tab w:val="left" w:leader="underscore" w:pos="2088"/>
          <w:tab w:val="left" w:leader="underscore" w:pos="4284"/>
        </w:tabs>
        <w:spacing w:before="240" w:after="0"/>
        <w:ind w:left="0"/>
        <w:jc w:val="both"/>
        <w:rPr>
          <w:rFonts w:ascii="Times New Roman" w:hAnsi="Times New Roman"/>
          <w:sz w:val="28"/>
          <w:szCs w:val="28"/>
          <w:lang w:val="uk-UA"/>
        </w:rPr>
      </w:pPr>
      <w:r w:rsidRPr="00932F66">
        <w:rPr>
          <w:rFonts w:ascii="Times New Roman" w:hAnsi="Times New Roman"/>
          <w:sz w:val="28"/>
          <w:szCs w:val="28"/>
          <w:lang w:val="uk-UA"/>
        </w:rPr>
        <w:t>- центральний орган виконавчої влади, що реалізує державну політику з питань нагляду та контролю за додержанням законодавства про працю, структурні підрозділи виконавчих органів міських рад міст обласного значення та об’єднаних територіальних громад, на які покладені функції із здійснення контролю за додержанням законодавства про працю та зайнятість населення.</w:t>
      </w:r>
    </w:p>
    <w:p w:rsidR="000D5754" w:rsidRPr="00932F66" w:rsidRDefault="000D5754" w:rsidP="004A7977">
      <w:pPr>
        <w:pStyle w:val="a9"/>
        <w:shd w:val="clear" w:color="auto" w:fill="FFFFFF"/>
        <w:tabs>
          <w:tab w:val="left" w:leader="underscore" w:pos="2088"/>
          <w:tab w:val="left" w:leader="underscore" w:pos="4284"/>
        </w:tabs>
        <w:spacing w:before="240" w:after="0"/>
        <w:ind w:left="0" w:firstLine="709"/>
        <w:jc w:val="both"/>
        <w:rPr>
          <w:rFonts w:ascii="Times New Roman" w:hAnsi="Times New Roman"/>
          <w:sz w:val="28"/>
          <w:szCs w:val="28"/>
          <w:lang w:val="uk-UA"/>
        </w:rPr>
      </w:pPr>
      <w:r w:rsidRPr="00932F66">
        <w:rPr>
          <w:rFonts w:ascii="Times New Roman" w:hAnsi="Times New Roman"/>
          <w:sz w:val="28"/>
          <w:szCs w:val="28"/>
          <w:lang w:val="uk-UA"/>
        </w:rPr>
        <w:t>Виходячи із вищенаведеного, у Львівському апеляційному адміністративному суді значно змінилась кількість поданих скарг, відповідно і суми пільг щодо сплати судового збору у 2017 році у порівнянні із минулорічним періодом.</w:t>
      </w:r>
    </w:p>
    <w:p w:rsidR="000D5754" w:rsidRPr="00932F66" w:rsidRDefault="000D5754" w:rsidP="004A7977">
      <w:pPr>
        <w:pStyle w:val="aa"/>
        <w:spacing w:before="240" w:line="276" w:lineRule="auto"/>
        <w:ind w:firstLine="708"/>
        <w:jc w:val="both"/>
        <w:rPr>
          <w:b w:val="0"/>
        </w:rPr>
      </w:pPr>
      <w:r w:rsidRPr="00932F66">
        <w:rPr>
          <w:b w:val="0"/>
        </w:rPr>
        <w:t xml:space="preserve">Відповідно до сформованого в комп’ютерній програмі «Діловодство спеціалізованого суду» звіту форми № 10 «Звіт про справляння, звільнення від сплати та повернення судового збору в місцевих та апеляційних судах» упродовж 2018 року </w:t>
      </w:r>
      <w:r w:rsidRPr="00932F66">
        <w:rPr>
          <w:b w:val="0"/>
          <w:i/>
        </w:rPr>
        <w:t xml:space="preserve">загальна розрахункова сума пільг щодо сплати судового збору </w:t>
      </w:r>
      <w:r w:rsidRPr="00932F66">
        <w:rPr>
          <w:b w:val="0"/>
        </w:rPr>
        <w:t xml:space="preserve">становить </w:t>
      </w:r>
      <w:r w:rsidRPr="00932F66">
        <w:t xml:space="preserve">629 933  </w:t>
      </w:r>
      <w:r w:rsidRPr="00932F66">
        <w:rPr>
          <w:b w:val="0"/>
        </w:rPr>
        <w:t xml:space="preserve">гривень за </w:t>
      </w:r>
      <w:r w:rsidRPr="00932F66">
        <w:t>480</w:t>
      </w:r>
      <w:r w:rsidRPr="00932F66">
        <w:rPr>
          <w:b w:val="0"/>
        </w:rPr>
        <w:t xml:space="preserve"> заяв (скарг).</w:t>
      </w:r>
    </w:p>
    <w:p w:rsidR="000D5754" w:rsidRPr="00932F66" w:rsidRDefault="000D5754" w:rsidP="004A7977">
      <w:pPr>
        <w:pStyle w:val="aa"/>
        <w:spacing w:before="240" w:line="276" w:lineRule="auto"/>
        <w:ind w:firstLine="708"/>
        <w:jc w:val="both"/>
        <w:rPr>
          <w:b w:val="0"/>
        </w:rPr>
      </w:pPr>
      <w:r w:rsidRPr="00932F66">
        <w:rPr>
          <w:rFonts w:eastAsia="Times New Roman"/>
          <w:b w:val="0"/>
        </w:rPr>
        <w:t>Так,</w:t>
      </w:r>
      <w:r w:rsidRPr="00932F66">
        <w:rPr>
          <w:b w:val="0"/>
        </w:rPr>
        <w:t xml:space="preserve">у звітному періоді </w:t>
      </w:r>
      <w:r w:rsidRPr="00932F66">
        <w:rPr>
          <w:b w:val="0"/>
          <w:i/>
        </w:rPr>
        <w:t>розрахунок суми пільг щодо сплати судового збору до</w:t>
      </w:r>
      <w:r w:rsidRPr="00932F66">
        <w:rPr>
          <w:b w:val="0"/>
        </w:rPr>
        <w:t xml:space="preserve"> Державного бюджету становить:</w:t>
      </w:r>
    </w:p>
    <w:p w:rsidR="000D5754" w:rsidRPr="00932F66" w:rsidRDefault="000D5754" w:rsidP="004A7977">
      <w:pPr>
        <w:pStyle w:val="aa"/>
        <w:spacing w:before="240" w:line="276" w:lineRule="auto"/>
        <w:ind w:firstLine="708"/>
        <w:jc w:val="both"/>
        <w:rPr>
          <w:b w:val="0"/>
        </w:rPr>
      </w:pPr>
      <w:r w:rsidRPr="00932F66">
        <w:rPr>
          <w:b w:val="0"/>
        </w:rPr>
        <w:t>*</w:t>
      </w:r>
      <w:r w:rsidRPr="00932F66">
        <w:t>209 591</w:t>
      </w:r>
      <w:r w:rsidRPr="00932F66">
        <w:rPr>
          <w:b w:val="0"/>
        </w:rPr>
        <w:t xml:space="preserve"> гривень за подання </w:t>
      </w:r>
      <w:r w:rsidRPr="00932F66">
        <w:rPr>
          <w:b w:val="0"/>
          <w:i/>
        </w:rPr>
        <w:t xml:space="preserve">позивачами – у справах про стягнення заробітної плати та поновлення на роботі </w:t>
      </w:r>
      <w:r w:rsidRPr="00932F66">
        <w:rPr>
          <w:b w:val="0"/>
        </w:rPr>
        <w:t xml:space="preserve"> до адміністративного суду </w:t>
      </w:r>
      <w:r w:rsidRPr="00932F66">
        <w:t>157</w:t>
      </w:r>
      <w:r w:rsidRPr="00932F66">
        <w:rPr>
          <w:b w:val="0"/>
        </w:rPr>
        <w:t xml:space="preserve"> заяв (скарг);</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2 997</w:t>
      </w:r>
      <w:r w:rsidRPr="00932F66">
        <w:rPr>
          <w:b w:val="0"/>
        </w:rPr>
        <w:t xml:space="preserve"> гривень за подання </w:t>
      </w:r>
      <w:r w:rsidRPr="00932F66">
        <w:rPr>
          <w:b w:val="0"/>
          <w:i/>
        </w:rPr>
        <w:t xml:space="preserve">позивачами – у справах щодо спорів, пов’язаних з виплатою компенсації, повернення майна, або у справах щодо спорів, пов’язаних з відшкодуванням його вартості громадянам, реабілітованим </w:t>
      </w:r>
      <w:r w:rsidRPr="00932F66">
        <w:rPr>
          <w:b w:val="0"/>
          <w:i/>
        </w:rPr>
        <w:lastRenderedPageBreak/>
        <w:t xml:space="preserve">відповідно до Закону України «Про реабілітацію жертв політичних репресій на Україні» </w:t>
      </w:r>
      <w:r w:rsidRPr="00932F66">
        <w:rPr>
          <w:b w:val="0"/>
        </w:rPr>
        <w:t xml:space="preserve"> до адміністративного суду </w:t>
      </w:r>
      <w:r w:rsidRPr="00932F66">
        <w:t>3</w:t>
      </w:r>
      <w:r w:rsidRPr="00932F66">
        <w:rPr>
          <w:b w:val="0"/>
        </w:rPr>
        <w:t xml:space="preserve"> заяви (скарга);</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18 957</w:t>
      </w:r>
      <w:r w:rsidRPr="00932F66">
        <w:rPr>
          <w:b w:val="0"/>
        </w:rPr>
        <w:t xml:space="preserve"> гривень за подання </w:t>
      </w:r>
      <w:r w:rsidRPr="00932F66">
        <w:rPr>
          <w:b w:val="0"/>
          <w:i/>
        </w:rPr>
        <w:t>громадянами, які у випадках, передбачених законодавством, звернулися із заявами до суду щодо захисту прав та інтересів інших осіб</w:t>
      </w:r>
      <w:r w:rsidRPr="00932F66">
        <w:rPr>
          <w:b w:val="0"/>
        </w:rPr>
        <w:t xml:space="preserve"> до адміністративного суду </w:t>
      </w:r>
      <w:r w:rsidRPr="00932F66">
        <w:t>16</w:t>
      </w:r>
      <w:r w:rsidRPr="00932F66">
        <w:rPr>
          <w:b w:val="0"/>
        </w:rPr>
        <w:t xml:space="preserve"> заяв (скарги);</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14 121</w:t>
      </w:r>
      <w:r w:rsidRPr="00932F66">
        <w:rPr>
          <w:b w:val="0"/>
        </w:rPr>
        <w:t xml:space="preserve"> гривень за подання </w:t>
      </w:r>
      <w:r w:rsidRPr="00932F66">
        <w:rPr>
          <w:b w:val="0"/>
          <w:i/>
        </w:rPr>
        <w:t>інвалідами Великої Вітчизняної війни та членами сім’ї воїнів (партизанів), які загинули чи пропали безвісти, і прирівняних до них у встановленому порядку осіб</w:t>
      </w:r>
      <w:r w:rsidRPr="00932F66">
        <w:rPr>
          <w:b w:val="0"/>
        </w:rPr>
        <w:t xml:space="preserve"> до адміністративного суду </w:t>
      </w:r>
      <w:r w:rsidRPr="00932F66">
        <w:t>13</w:t>
      </w:r>
      <w:r w:rsidRPr="00932F66">
        <w:rPr>
          <w:b w:val="0"/>
        </w:rPr>
        <w:t xml:space="preserve"> заяв (скарг);</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127 146</w:t>
      </w:r>
      <w:r w:rsidRPr="00932F66">
        <w:rPr>
          <w:b w:val="0"/>
        </w:rPr>
        <w:t xml:space="preserve"> гривень за подання </w:t>
      </w:r>
      <w:r w:rsidRPr="00932F66">
        <w:rPr>
          <w:b w:val="0"/>
          <w:i/>
        </w:rPr>
        <w:t xml:space="preserve">інвалідами </w:t>
      </w:r>
      <w:r w:rsidRPr="00932F66">
        <w:rPr>
          <w:b w:val="0"/>
          <w:i/>
          <w:lang w:val="en-US"/>
        </w:rPr>
        <w:t>I</w:t>
      </w:r>
      <w:r w:rsidRPr="00932F66">
        <w:rPr>
          <w:b w:val="0"/>
          <w:i/>
        </w:rPr>
        <w:t xml:space="preserve"> та </w:t>
      </w:r>
      <w:r w:rsidRPr="00932F66">
        <w:rPr>
          <w:b w:val="0"/>
          <w:i/>
          <w:lang w:val="en-US"/>
        </w:rPr>
        <w:t>II</w:t>
      </w:r>
      <w:r w:rsidRPr="00932F66">
        <w:rPr>
          <w:b w:val="0"/>
          <w:i/>
        </w:rPr>
        <w:t xml:space="preserve"> груп, законними представниками дітей-інвалідів і недієздатних інвалідів</w:t>
      </w:r>
      <w:r w:rsidRPr="00932F66">
        <w:rPr>
          <w:b w:val="0"/>
        </w:rPr>
        <w:t xml:space="preserve"> до адміністративного суду </w:t>
      </w:r>
      <w:r w:rsidRPr="00932F66">
        <w:t>89</w:t>
      </w:r>
      <w:r w:rsidRPr="00932F66">
        <w:rPr>
          <w:b w:val="0"/>
        </w:rPr>
        <w:t xml:space="preserve"> заяв (скарг);</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 xml:space="preserve">66 738 </w:t>
      </w:r>
      <w:r w:rsidRPr="00932F66">
        <w:rPr>
          <w:b w:val="0"/>
        </w:rPr>
        <w:t xml:space="preserve">гривні за подання </w:t>
      </w:r>
      <w:r w:rsidRPr="00932F66">
        <w:rPr>
          <w:b w:val="0"/>
          <w:i/>
        </w:rPr>
        <w:t xml:space="preserve">громадянами, віднесеними до 1 та 2 категорій постраждалих внаслідок Чорнобильської катастрофи </w:t>
      </w:r>
      <w:r w:rsidRPr="00932F66">
        <w:rPr>
          <w:b w:val="0"/>
        </w:rPr>
        <w:t xml:space="preserve">до адміністративного суду </w:t>
      </w:r>
      <w:r w:rsidRPr="00932F66">
        <w:t>66</w:t>
      </w:r>
      <w:r w:rsidRPr="00932F66">
        <w:rPr>
          <w:b w:val="0"/>
        </w:rPr>
        <w:t xml:space="preserve"> заяви (скарги);</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 xml:space="preserve">14 531 </w:t>
      </w:r>
      <w:r w:rsidRPr="00932F66">
        <w:rPr>
          <w:b w:val="0"/>
        </w:rPr>
        <w:t xml:space="preserve">гривень за подання </w:t>
      </w:r>
      <w:r w:rsidRPr="00932F66">
        <w:rPr>
          <w:b w:val="0"/>
          <w:i/>
        </w:rPr>
        <w:t xml:space="preserve">військовослужбовцями, військовозобов’язаними та резервістами, які призвані на навчальні (або перевірочні) та спеціальні збори, - у справах пов’язаних з виконанням військового обов’язку, а також під час виконання службових обов’язків  </w:t>
      </w:r>
      <w:r w:rsidRPr="00932F66">
        <w:rPr>
          <w:b w:val="0"/>
        </w:rPr>
        <w:t xml:space="preserve">до адміністративного суду </w:t>
      </w:r>
      <w:r w:rsidRPr="00932F66">
        <w:t>11</w:t>
      </w:r>
      <w:r w:rsidRPr="00932F66">
        <w:rPr>
          <w:b w:val="0"/>
        </w:rPr>
        <w:t xml:space="preserve"> заяв (скарг);</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 xml:space="preserve">136 943 </w:t>
      </w:r>
      <w:r w:rsidRPr="00932F66">
        <w:rPr>
          <w:b w:val="0"/>
        </w:rPr>
        <w:t xml:space="preserve">гривні за подання </w:t>
      </w:r>
      <w:r w:rsidRPr="00932F66">
        <w:rPr>
          <w:b w:val="0"/>
          <w:i/>
        </w:rPr>
        <w:t xml:space="preserve">учасниками бойових дій, Героями України – у справах, пов’язаних з порушенням їхніх прав </w:t>
      </w:r>
      <w:r w:rsidRPr="00932F66">
        <w:rPr>
          <w:b w:val="0"/>
        </w:rPr>
        <w:t xml:space="preserve">до адміністративного суду </w:t>
      </w:r>
      <w:r w:rsidRPr="00932F66">
        <w:t>96</w:t>
      </w:r>
      <w:r w:rsidRPr="00932F66">
        <w:rPr>
          <w:b w:val="0"/>
        </w:rPr>
        <w:t xml:space="preserve"> заяв (скарг);</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 xml:space="preserve">34 189 </w:t>
      </w:r>
      <w:r w:rsidRPr="00932F66">
        <w:rPr>
          <w:b w:val="0"/>
        </w:rPr>
        <w:t xml:space="preserve">гривень за подання </w:t>
      </w:r>
      <w:r w:rsidRPr="00932F66">
        <w:rPr>
          <w:b w:val="0"/>
          <w:i/>
        </w:rPr>
        <w:t xml:space="preserve">позивачами – у справах у порядку, визначеному статтею 12 Закону України «Про біженців та осіб, які потребують додаткового або тимчасового захисту» </w:t>
      </w:r>
      <w:r w:rsidRPr="00932F66">
        <w:rPr>
          <w:b w:val="0"/>
        </w:rPr>
        <w:t xml:space="preserve">до адміністративного суду </w:t>
      </w:r>
      <w:r w:rsidRPr="00932F66">
        <w:t>30</w:t>
      </w:r>
      <w:r w:rsidRPr="00932F66">
        <w:rPr>
          <w:b w:val="0"/>
        </w:rPr>
        <w:t xml:space="preserve"> заяв (скарг);</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2 977</w:t>
      </w:r>
      <w:r w:rsidRPr="00932F66">
        <w:rPr>
          <w:b w:val="0"/>
        </w:rPr>
        <w:t xml:space="preserve"> гривні за подання </w:t>
      </w:r>
      <w:r w:rsidRPr="00932F66">
        <w:rPr>
          <w:b w:val="0"/>
          <w:i/>
        </w:rPr>
        <w:t xml:space="preserve">позивачами – позову щодо спорів, пов’язаних з наданням статусу учасника бойових дій відповідно до пунктів 19,20 частини першої статті 6 Закону України «Про статус ветеранів війни, гарантії їх соціального захисту» </w:t>
      </w:r>
      <w:r w:rsidRPr="00932F66">
        <w:rPr>
          <w:b w:val="0"/>
        </w:rPr>
        <w:t xml:space="preserve"> до адміністративного суду </w:t>
      </w:r>
      <w:r w:rsidRPr="00932F66">
        <w:t>3</w:t>
      </w:r>
      <w:r w:rsidRPr="00932F66">
        <w:rPr>
          <w:b w:val="0"/>
        </w:rPr>
        <w:t xml:space="preserve"> заяв (скарг).</w:t>
      </w:r>
    </w:p>
    <w:p w:rsidR="000D5754" w:rsidRDefault="000D5754" w:rsidP="004A7977">
      <w:pPr>
        <w:pStyle w:val="aa"/>
        <w:spacing w:line="276" w:lineRule="auto"/>
        <w:ind w:firstLine="708"/>
        <w:jc w:val="both"/>
        <w:rPr>
          <w:b w:val="0"/>
        </w:rPr>
      </w:pPr>
      <w:r w:rsidRPr="00932F66">
        <w:rPr>
          <w:b w:val="0"/>
        </w:rPr>
        <w:t xml:space="preserve">* </w:t>
      </w:r>
      <w:r w:rsidRPr="00932F66">
        <w:t>1 762</w:t>
      </w:r>
      <w:r w:rsidRPr="00932F66">
        <w:rPr>
          <w:b w:val="0"/>
        </w:rPr>
        <w:t xml:space="preserve"> гривні за подання </w:t>
      </w:r>
      <w:r w:rsidRPr="00932F66">
        <w:rPr>
          <w:b w:val="0"/>
          <w:i/>
        </w:rPr>
        <w:t xml:space="preserve">засудженими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пов’язаних із питаннями, які вирішуються судом під час виконання вироку відповідно до статті 537 Кримінального процесуального кодексу України, у разі </w:t>
      </w:r>
      <w:r w:rsidRPr="00932F66">
        <w:rPr>
          <w:b w:val="0"/>
          <w:i/>
        </w:rPr>
        <w:lastRenderedPageBreak/>
        <w:t xml:space="preserve">відсутності на їхніх особових рахунках коштів, достатніх для сплати судового збору </w:t>
      </w:r>
      <w:r w:rsidRPr="00932F66">
        <w:rPr>
          <w:b w:val="0"/>
        </w:rPr>
        <w:t xml:space="preserve">до адміністративного суду </w:t>
      </w:r>
      <w:r w:rsidRPr="00932F66">
        <w:t>1</w:t>
      </w:r>
      <w:r w:rsidRPr="00932F66">
        <w:rPr>
          <w:b w:val="0"/>
        </w:rPr>
        <w:t xml:space="preserve"> заява (скарг);</w:t>
      </w:r>
    </w:p>
    <w:p w:rsidR="004A7977" w:rsidRPr="00932F66" w:rsidRDefault="004A7977" w:rsidP="004A7977">
      <w:pPr>
        <w:pStyle w:val="aa"/>
        <w:spacing w:line="276" w:lineRule="auto"/>
        <w:ind w:firstLine="708"/>
        <w:jc w:val="both"/>
        <w:rPr>
          <w:b w:val="0"/>
        </w:rPr>
      </w:pPr>
    </w:p>
    <w:p w:rsidR="004A7977" w:rsidRDefault="000D5754" w:rsidP="00EE79A1">
      <w:pPr>
        <w:pStyle w:val="aa"/>
        <w:numPr>
          <w:ilvl w:val="0"/>
          <w:numId w:val="2"/>
        </w:numPr>
        <w:spacing w:line="276" w:lineRule="auto"/>
        <w:ind w:left="0" w:firstLine="709"/>
        <w:jc w:val="left"/>
        <w:rPr>
          <w:lang w:val="ru-RU"/>
        </w:rPr>
      </w:pPr>
      <w:r w:rsidRPr="00932F66">
        <w:t>Перегляд рішень Львівського апеляційного адміністративного суду в касаційному порядку</w:t>
      </w:r>
      <w:r w:rsidR="004A7977">
        <w:rPr>
          <w:lang w:val="ru-RU"/>
        </w:rPr>
        <w:t>.</w:t>
      </w:r>
    </w:p>
    <w:p w:rsidR="004A7977" w:rsidRPr="004A7977" w:rsidRDefault="004A7977" w:rsidP="004A7977">
      <w:pPr>
        <w:pStyle w:val="aa"/>
        <w:spacing w:line="276" w:lineRule="auto"/>
        <w:ind w:left="709"/>
        <w:jc w:val="left"/>
        <w:rPr>
          <w:lang w:val="ru-RU"/>
        </w:rPr>
      </w:pPr>
    </w:p>
    <w:p w:rsidR="000D5754" w:rsidRPr="00932F66" w:rsidRDefault="000D5754" w:rsidP="004A7977">
      <w:pPr>
        <w:spacing w:line="276" w:lineRule="auto"/>
        <w:jc w:val="both"/>
        <w:rPr>
          <w:bCs/>
          <w:sz w:val="28"/>
          <w:szCs w:val="28"/>
          <w:lang w:val="uk-UA"/>
        </w:rPr>
      </w:pPr>
      <w:r w:rsidRPr="00932F66">
        <w:rPr>
          <w:sz w:val="28"/>
          <w:szCs w:val="28"/>
          <w:lang w:val="uk-UA"/>
        </w:rPr>
        <w:t xml:space="preserve">          Відповідно до даних, вибраних з комп’ютерної програми «Діловодство спеціалізованого суду»,</w:t>
      </w:r>
      <w:r w:rsidRPr="00932F66">
        <w:rPr>
          <w:rFonts w:eastAsia="Calibri"/>
          <w:sz w:val="28"/>
          <w:szCs w:val="28"/>
          <w:lang w:val="uk-UA"/>
        </w:rPr>
        <w:t xml:space="preserve">за період з 01.01.2018 року по 03.10.2018 року </w:t>
      </w:r>
      <w:r w:rsidRPr="00932F66">
        <w:rPr>
          <w:sz w:val="28"/>
          <w:szCs w:val="28"/>
          <w:lang w:val="uk-UA"/>
        </w:rPr>
        <w:t>Вищим адміністративним судом України із переглянутих рішень Львівського апеляційного адміністративного суду скасовано 455 ухвал та постанов, змінено 10 ухвал та постанов.</w:t>
      </w:r>
    </w:p>
    <w:p w:rsidR="000D5754" w:rsidRPr="00932F66" w:rsidRDefault="000D5754" w:rsidP="004A7977">
      <w:pPr>
        <w:pStyle w:val="aa"/>
        <w:spacing w:before="240" w:line="276" w:lineRule="auto"/>
        <w:ind w:firstLine="708"/>
        <w:jc w:val="both"/>
        <w:rPr>
          <w:b w:val="0"/>
        </w:rPr>
      </w:pPr>
      <w:r w:rsidRPr="00932F66">
        <w:rPr>
          <w:b w:val="0"/>
        </w:rPr>
        <w:t xml:space="preserve">Із скасованих </w:t>
      </w:r>
      <w:r w:rsidRPr="00932F66">
        <w:rPr>
          <w:rFonts w:eastAsia="Calibri"/>
          <w:b w:val="0"/>
        </w:rPr>
        <w:t>за період з 01.01.2018 року по 03.10.2018 року</w:t>
      </w:r>
      <w:r w:rsidRPr="00932F66">
        <w:rPr>
          <w:b w:val="0"/>
        </w:rPr>
        <w:t>касаційною інстанцією рішень Львівського апеляційного адміністративного суду:</w:t>
      </w:r>
    </w:p>
    <w:p w:rsidR="000D5754" w:rsidRPr="00932F66" w:rsidRDefault="000D5754" w:rsidP="00EE79A1">
      <w:pPr>
        <w:pStyle w:val="aa"/>
        <w:numPr>
          <w:ilvl w:val="0"/>
          <w:numId w:val="1"/>
        </w:numPr>
        <w:spacing w:before="240" w:line="276" w:lineRule="auto"/>
        <w:jc w:val="both"/>
        <w:rPr>
          <w:b w:val="0"/>
        </w:rPr>
      </w:pPr>
      <w:r w:rsidRPr="00932F66">
        <w:t>6</w:t>
      </w:r>
      <w:r w:rsidRPr="00932F66">
        <w:rPr>
          <w:b w:val="0"/>
        </w:rPr>
        <w:t xml:space="preserve"> рішень ЛААС, постановлених у 2013 році;</w:t>
      </w:r>
    </w:p>
    <w:p w:rsidR="000D5754" w:rsidRPr="00932F66" w:rsidRDefault="000D5754" w:rsidP="00EE79A1">
      <w:pPr>
        <w:pStyle w:val="aa"/>
        <w:numPr>
          <w:ilvl w:val="0"/>
          <w:numId w:val="1"/>
        </w:numPr>
        <w:spacing w:before="240" w:line="276" w:lineRule="auto"/>
        <w:jc w:val="both"/>
        <w:rPr>
          <w:b w:val="0"/>
        </w:rPr>
      </w:pPr>
      <w:r w:rsidRPr="00932F66">
        <w:rPr>
          <w:lang w:val="ru-RU"/>
        </w:rPr>
        <w:t>27</w:t>
      </w:r>
      <w:r w:rsidRPr="00932F66">
        <w:rPr>
          <w:b w:val="0"/>
        </w:rPr>
        <w:t xml:space="preserve"> рішень ЛААС, винесених у 2014 році;</w:t>
      </w:r>
    </w:p>
    <w:p w:rsidR="000D5754" w:rsidRPr="00932F66" w:rsidRDefault="000D5754" w:rsidP="00EE79A1">
      <w:pPr>
        <w:pStyle w:val="aa"/>
        <w:numPr>
          <w:ilvl w:val="0"/>
          <w:numId w:val="1"/>
        </w:numPr>
        <w:spacing w:before="240" w:line="276" w:lineRule="auto"/>
        <w:jc w:val="both"/>
        <w:rPr>
          <w:b w:val="0"/>
        </w:rPr>
      </w:pPr>
      <w:r w:rsidRPr="00932F66">
        <w:rPr>
          <w:lang w:val="ru-RU"/>
        </w:rPr>
        <w:t>49</w:t>
      </w:r>
      <w:r w:rsidRPr="00932F66">
        <w:rPr>
          <w:b w:val="0"/>
        </w:rPr>
        <w:t xml:space="preserve"> рішень ЛААС, ухвалених у 2015 році;</w:t>
      </w:r>
    </w:p>
    <w:p w:rsidR="000D5754" w:rsidRPr="00932F66" w:rsidRDefault="000D5754" w:rsidP="00EE79A1">
      <w:pPr>
        <w:pStyle w:val="aa"/>
        <w:numPr>
          <w:ilvl w:val="0"/>
          <w:numId w:val="1"/>
        </w:numPr>
        <w:spacing w:before="240" w:line="276" w:lineRule="auto"/>
        <w:jc w:val="both"/>
        <w:rPr>
          <w:b w:val="0"/>
        </w:rPr>
      </w:pPr>
      <w:r w:rsidRPr="00932F66">
        <w:rPr>
          <w:lang w:val="ru-RU"/>
        </w:rPr>
        <w:t xml:space="preserve">105 </w:t>
      </w:r>
      <w:r w:rsidRPr="00932F66">
        <w:rPr>
          <w:b w:val="0"/>
        </w:rPr>
        <w:t>рішень ЛААС, постановлених у 2016 році.</w:t>
      </w:r>
    </w:p>
    <w:p w:rsidR="000D5754" w:rsidRPr="00932F66" w:rsidRDefault="000D5754" w:rsidP="00EE79A1">
      <w:pPr>
        <w:pStyle w:val="aa"/>
        <w:numPr>
          <w:ilvl w:val="0"/>
          <w:numId w:val="1"/>
        </w:numPr>
        <w:spacing w:before="240" w:line="276" w:lineRule="auto"/>
        <w:jc w:val="both"/>
        <w:rPr>
          <w:b w:val="0"/>
        </w:rPr>
      </w:pPr>
      <w:r w:rsidRPr="00932F66">
        <w:rPr>
          <w:lang w:val="ru-RU"/>
        </w:rPr>
        <w:t xml:space="preserve">204 </w:t>
      </w:r>
      <w:r w:rsidRPr="00932F66">
        <w:rPr>
          <w:b w:val="0"/>
        </w:rPr>
        <w:t>рішення ЛААС, винесених у 2017 році.</w:t>
      </w:r>
    </w:p>
    <w:p w:rsidR="000D5754" w:rsidRPr="00932F66" w:rsidRDefault="000D5754" w:rsidP="00EE79A1">
      <w:pPr>
        <w:pStyle w:val="aa"/>
        <w:numPr>
          <w:ilvl w:val="0"/>
          <w:numId w:val="1"/>
        </w:numPr>
        <w:spacing w:before="240" w:line="276" w:lineRule="auto"/>
        <w:jc w:val="both"/>
        <w:rPr>
          <w:b w:val="0"/>
        </w:rPr>
      </w:pPr>
      <w:r w:rsidRPr="00932F66">
        <w:rPr>
          <w:lang w:val="ru-RU"/>
        </w:rPr>
        <w:t>64</w:t>
      </w:r>
      <w:r w:rsidRPr="00932F66">
        <w:rPr>
          <w:b w:val="0"/>
        </w:rPr>
        <w:t xml:space="preserve"> рішення ЛААС, ухвалених у 2018 році.</w:t>
      </w:r>
    </w:p>
    <w:p w:rsidR="000D5754" w:rsidRPr="00932F66" w:rsidRDefault="000D5754" w:rsidP="004A7977">
      <w:pPr>
        <w:pStyle w:val="aa"/>
        <w:spacing w:before="240" w:line="276" w:lineRule="auto"/>
        <w:ind w:firstLine="708"/>
        <w:jc w:val="both"/>
        <w:rPr>
          <w:b w:val="0"/>
        </w:rPr>
      </w:pPr>
      <w:r w:rsidRPr="00932F66">
        <w:rPr>
          <w:b w:val="0"/>
        </w:rPr>
        <w:t xml:space="preserve">Із скасованих </w:t>
      </w:r>
      <w:r w:rsidRPr="00932F66">
        <w:rPr>
          <w:rFonts w:eastAsia="Calibri"/>
          <w:b w:val="0"/>
        </w:rPr>
        <w:t>за період з 01.01.2018 року по 03.10.2018 року</w:t>
      </w:r>
      <w:r w:rsidRPr="00932F66">
        <w:rPr>
          <w:b w:val="0"/>
        </w:rPr>
        <w:t>касаційною інстанцією рішень Львівського апеляційного адміністративного суду:</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 xml:space="preserve">12 </w:t>
      </w:r>
      <w:r w:rsidRPr="00932F66">
        <w:rPr>
          <w:b w:val="0"/>
        </w:rPr>
        <w:t xml:space="preserve">рішень або </w:t>
      </w:r>
      <w:r w:rsidRPr="00932F66">
        <w:t>2,6</w:t>
      </w:r>
      <w:r w:rsidRPr="00932F66">
        <w:rPr>
          <w:b w:val="0"/>
        </w:rPr>
        <w:t>% скасованих (із 455) - у справах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(Розділ 2 Класифікатора категорій адміністративних справ (далі – Класифікатор));</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rPr>
          <w:lang w:val="ru-RU"/>
        </w:rPr>
        <w:t>9</w:t>
      </w:r>
      <w:r w:rsidRPr="00932F66">
        <w:rPr>
          <w:b w:val="0"/>
        </w:rPr>
        <w:t xml:space="preserve"> рішень або </w:t>
      </w:r>
      <w:r w:rsidRPr="00932F66">
        <w:rPr>
          <w:lang w:val="ru-RU"/>
        </w:rPr>
        <w:t>3</w:t>
      </w:r>
      <w:r w:rsidRPr="00932F66">
        <w:t>,5</w:t>
      </w:r>
      <w:r w:rsidRPr="00932F66">
        <w:rPr>
          <w:b w:val="0"/>
        </w:rPr>
        <w:t>% скасованих (із 455)- у справах зі спорів з приводу забезпечення громадського порядку та безпеки, національної безпеки та оборони України</w:t>
      </w:r>
      <w:r w:rsidRPr="00932F66">
        <w:rPr>
          <w:b w:val="0"/>
          <w:lang w:val="ru-RU"/>
        </w:rPr>
        <w:tab/>
      </w:r>
      <w:r w:rsidRPr="00932F66">
        <w:rPr>
          <w:b w:val="0"/>
        </w:rPr>
        <w:tab/>
      </w:r>
      <w:r w:rsidRPr="00932F66">
        <w:rPr>
          <w:b w:val="0"/>
        </w:rPr>
        <w:tab/>
      </w:r>
      <w:r w:rsidRPr="00932F66">
        <w:rPr>
          <w:b w:val="0"/>
        </w:rPr>
        <w:tab/>
      </w:r>
      <w:r w:rsidRPr="00932F66">
        <w:rPr>
          <w:b w:val="0"/>
        </w:rPr>
        <w:tab/>
      </w:r>
      <w:r w:rsidRPr="00932F66">
        <w:rPr>
          <w:b w:val="0"/>
        </w:rPr>
        <w:tab/>
        <w:t>(Розділ 3 Класифікатора);</w:t>
      </w:r>
    </w:p>
    <w:p w:rsidR="000D5754" w:rsidRPr="00932F66" w:rsidRDefault="000D5754" w:rsidP="004A7977">
      <w:pPr>
        <w:pStyle w:val="aa"/>
        <w:spacing w:before="240" w:line="276" w:lineRule="auto"/>
        <w:ind w:firstLine="708"/>
        <w:jc w:val="both"/>
        <w:rPr>
          <w:b w:val="0"/>
          <w:lang w:val="ru-RU"/>
        </w:rPr>
      </w:pPr>
      <w:r w:rsidRPr="00932F66">
        <w:rPr>
          <w:b w:val="0"/>
        </w:rPr>
        <w:t xml:space="preserve">√ </w:t>
      </w:r>
      <w:r w:rsidRPr="00932F66">
        <w:t>55</w:t>
      </w:r>
      <w:r w:rsidRPr="00932F66">
        <w:rPr>
          <w:b w:val="0"/>
        </w:rPr>
        <w:t xml:space="preserve"> рішень або </w:t>
      </w:r>
      <w:r w:rsidRPr="00932F66">
        <w:rPr>
          <w:lang w:val="ru-RU"/>
        </w:rPr>
        <w:t>12</w:t>
      </w:r>
      <w:r w:rsidRPr="00932F66">
        <w:t>,1</w:t>
      </w:r>
      <w:r w:rsidRPr="00932F66">
        <w:rPr>
          <w:b w:val="0"/>
        </w:rPr>
        <w:t>% скасованих (із 455) - у справах зі спорів з приводу реалізації державної політики у сфері економіки</w:t>
      </w:r>
    </w:p>
    <w:p w:rsidR="000D5754" w:rsidRPr="00932F66" w:rsidRDefault="000D5754" w:rsidP="004A7977">
      <w:pPr>
        <w:pStyle w:val="aa"/>
        <w:spacing w:before="240" w:line="276" w:lineRule="auto"/>
        <w:ind w:firstLine="708"/>
        <w:jc w:val="both"/>
        <w:rPr>
          <w:b w:val="0"/>
        </w:rPr>
      </w:pPr>
      <w:r w:rsidRPr="00932F66">
        <w:rPr>
          <w:b w:val="0"/>
          <w:lang w:val="ru-RU"/>
        </w:rPr>
        <w:tab/>
      </w:r>
      <w:r w:rsidRPr="00932F66">
        <w:rPr>
          <w:b w:val="0"/>
          <w:lang w:val="ru-RU"/>
        </w:rPr>
        <w:tab/>
      </w:r>
      <w:r w:rsidRPr="00932F66">
        <w:rPr>
          <w:b w:val="0"/>
          <w:lang w:val="ru-RU"/>
        </w:rPr>
        <w:tab/>
      </w:r>
      <w:r w:rsidRPr="00932F66">
        <w:rPr>
          <w:b w:val="0"/>
          <w:lang w:val="ru-RU"/>
        </w:rPr>
        <w:tab/>
      </w:r>
      <w:r w:rsidRPr="00932F66">
        <w:rPr>
          <w:b w:val="0"/>
          <w:lang w:val="ru-RU"/>
        </w:rPr>
        <w:tab/>
      </w:r>
      <w:r w:rsidRPr="00932F66">
        <w:rPr>
          <w:b w:val="0"/>
          <w:lang w:val="ru-RU"/>
        </w:rPr>
        <w:tab/>
      </w:r>
      <w:r w:rsidRPr="00932F66">
        <w:rPr>
          <w:b w:val="0"/>
        </w:rPr>
        <w:tab/>
        <w:t>(Розділ 5 Класифікатора);</w:t>
      </w:r>
    </w:p>
    <w:p w:rsidR="000D5754" w:rsidRPr="00932F66" w:rsidRDefault="000D5754" w:rsidP="004A7977">
      <w:pPr>
        <w:pStyle w:val="aa"/>
        <w:spacing w:before="240" w:line="276" w:lineRule="auto"/>
        <w:ind w:firstLine="708"/>
        <w:jc w:val="both"/>
        <w:rPr>
          <w:b w:val="0"/>
        </w:rPr>
      </w:pPr>
      <w:r w:rsidRPr="00932F66">
        <w:rPr>
          <w:b w:val="0"/>
        </w:rPr>
        <w:lastRenderedPageBreak/>
        <w:t xml:space="preserve">√ </w:t>
      </w:r>
      <w:r w:rsidRPr="00932F66">
        <w:rPr>
          <w:lang w:val="ru-RU"/>
        </w:rPr>
        <w:t>50</w:t>
      </w:r>
      <w:r w:rsidRPr="00932F66">
        <w:rPr>
          <w:b w:val="0"/>
        </w:rPr>
        <w:t xml:space="preserve"> рішень або </w:t>
      </w:r>
      <w:r w:rsidRPr="00932F66">
        <w:rPr>
          <w:lang w:val="ru-RU"/>
        </w:rPr>
        <w:t>11,0</w:t>
      </w:r>
      <w:r w:rsidRPr="00932F66">
        <w:rPr>
          <w:b w:val="0"/>
        </w:rPr>
        <w:t>% скасованих (із 455) - у справах зі спорів з приводу забезпечення сталого розвитку населених пунктів та землекористування</w:t>
      </w:r>
      <w:r w:rsidRPr="00932F66">
        <w:rPr>
          <w:b w:val="0"/>
        </w:rPr>
        <w:tab/>
      </w:r>
      <w:r w:rsidRPr="00932F66">
        <w:rPr>
          <w:b w:val="0"/>
        </w:rPr>
        <w:tab/>
      </w:r>
      <w:r w:rsidRPr="00932F66">
        <w:rPr>
          <w:b w:val="0"/>
        </w:rPr>
        <w:tab/>
      </w:r>
      <w:r w:rsidRPr="00932F66">
        <w:rPr>
          <w:b w:val="0"/>
        </w:rPr>
        <w:tab/>
      </w:r>
      <w:r w:rsidRPr="00932F66">
        <w:rPr>
          <w:b w:val="0"/>
        </w:rPr>
        <w:tab/>
        <w:t>(Розділ 6 Класифікатора);</w:t>
      </w:r>
    </w:p>
    <w:p w:rsidR="000D5754" w:rsidRPr="00932F66" w:rsidRDefault="000D5754" w:rsidP="004A7977">
      <w:pPr>
        <w:pStyle w:val="aa"/>
        <w:spacing w:before="240" w:line="276" w:lineRule="auto"/>
        <w:ind w:firstLine="708"/>
        <w:jc w:val="both"/>
        <w:rPr>
          <w:b w:val="0"/>
          <w:lang w:val="ru-RU"/>
        </w:rPr>
      </w:pPr>
      <w:r w:rsidRPr="00932F66">
        <w:rPr>
          <w:b w:val="0"/>
        </w:rPr>
        <w:t xml:space="preserve">√ </w:t>
      </w:r>
      <w:r w:rsidRPr="00932F66">
        <w:rPr>
          <w:lang w:val="ru-RU"/>
        </w:rPr>
        <w:t>154</w:t>
      </w:r>
      <w:r w:rsidRPr="00932F66">
        <w:rPr>
          <w:b w:val="0"/>
        </w:rPr>
        <w:t xml:space="preserve"> рішення або </w:t>
      </w:r>
      <w:r w:rsidRPr="00932F66">
        <w:t>33,9</w:t>
      </w:r>
      <w:r w:rsidRPr="00932F66">
        <w:rPr>
          <w:b w:val="0"/>
        </w:rPr>
        <w:t>% скасованих (із 455) - у справах зі спорів з приводу адміністрування податків, зборів, платежів, а також контролю за дотриманням вимог податкового законодавства</w:t>
      </w:r>
      <w:r w:rsidRPr="00932F66">
        <w:rPr>
          <w:b w:val="0"/>
        </w:rPr>
        <w:tab/>
      </w:r>
    </w:p>
    <w:p w:rsidR="000D5754" w:rsidRPr="00932F66" w:rsidRDefault="000D5754" w:rsidP="004A7977">
      <w:pPr>
        <w:pStyle w:val="aa"/>
        <w:spacing w:before="240" w:line="276" w:lineRule="auto"/>
        <w:ind w:firstLine="708"/>
        <w:jc w:val="both"/>
        <w:rPr>
          <w:b w:val="0"/>
        </w:rPr>
      </w:pPr>
      <w:r w:rsidRPr="00932F66">
        <w:rPr>
          <w:b w:val="0"/>
          <w:lang w:val="ru-RU"/>
        </w:rPr>
        <w:tab/>
      </w:r>
      <w:r w:rsidRPr="00932F66">
        <w:rPr>
          <w:b w:val="0"/>
          <w:lang w:val="ru-RU"/>
        </w:rPr>
        <w:tab/>
      </w:r>
      <w:r w:rsidRPr="00932F66">
        <w:rPr>
          <w:b w:val="0"/>
          <w:lang w:val="ru-RU"/>
        </w:rPr>
        <w:tab/>
      </w:r>
      <w:r w:rsidRPr="00932F66">
        <w:rPr>
          <w:b w:val="0"/>
          <w:lang w:val="ru-RU"/>
        </w:rPr>
        <w:tab/>
      </w:r>
      <w:r w:rsidRPr="00932F66">
        <w:rPr>
          <w:b w:val="0"/>
          <w:lang w:val="ru-RU"/>
        </w:rPr>
        <w:tab/>
      </w:r>
      <w:r w:rsidRPr="00932F66">
        <w:rPr>
          <w:b w:val="0"/>
        </w:rPr>
        <w:tab/>
        <w:t>(Розділ 8 Класифікатора);</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20</w:t>
      </w:r>
      <w:r w:rsidRPr="00932F66">
        <w:rPr>
          <w:b w:val="0"/>
        </w:rPr>
        <w:t xml:space="preserve"> рішень або </w:t>
      </w:r>
      <w:r w:rsidRPr="00932F66">
        <w:t>4,4</w:t>
      </w:r>
      <w:r w:rsidRPr="00932F66">
        <w:rPr>
          <w:b w:val="0"/>
        </w:rPr>
        <w:t>% скасованих (із 455)- у справах зі спорів з приводу реалізації публічної фінансової політики</w:t>
      </w:r>
      <w:r w:rsidRPr="00932F66">
        <w:rPr>
          <w:b w:val="0"/>
        </w:rPr>
        <w:tab/>
      </w:r>
      <w:r w:rsidRPr="00932F66">
        <w:rPr>
          <w:b w:val="0"/>
        </w:rPr>
        <w:tab/>
      </w:r>
    </w:p>
    <w:p w:rsidR="000D5754" w:rsidRPr="00932F66" w:rsidRDefault="000D5754" w:rsidP="004A7977">
      <w:pPr>
        <w:pStyle w:val="aa"/>
        <w:spacing w:before="240" w:line="276" w:lineRule="auto"/>
        <w:ind w:left="4248" w:firstLine="708"/>
        <w:jc w:val="both"/>
        <w:rPr>
          <w:b w:val="0"/>
        </w:rPr>
      </w:pPr>
      <w:r w:rsidRPr="00932F66">
        <w:rPr>
          <w:b w:val="0"/>
        </w:rPr>
        <w:t>(Розділ 9 Класифікатора);</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107</w:t>
      </w:r>
      <w:r w:rsidRPr="00932F66">
        <w:rPr>
          <w:b w:val="0"/>
        </w:rPr>
        <w:t xml:space="preserve"> рішень або </w:t>
      </w:r>
      <w:r w:rsidRPr="00932F66">
        <w:t>23,5</w:t>
      </w:r>
      <w:r w:rsidRPr="00932F66">
        <w:rPr>
          <w:b w:val="0"/>
        </w:rPr>
        <w:t>% скасованих (із 455) - у справах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r w:rsidRPr="00932F66">
        <w:rPr>
          <w:b w:val="0"/>
        </w:rPr>
        <w:tab/>
      </w:r>
      <w:r w:rsidRPr="00932F66">
        <w:rPr>
          <w:b w:val="0"/>
        </w:rPr>
        <w:tab/>
      </w:r>
      <w:r w:rsidRPr="00932F66">
        <w:rPr>
          <w:b w:val="0"/>
        </w:rPr>
        <w:tab/>
      </w:r>
      <w:r w:rsidRPr="00932F66">
        <w:rPr>
          <w:b w:val="0"/>
        </w:rPr>
        <w:tab/>
      </w:r>
      <w:r w:rsidRPr="00932F66">
        <w:rPr>
          <w:b w:val="0"/>
        </w:rPr>
        <w:tab/>
      </w:r>
      <w:r w:rsidRPr="00932F66">
        <w:rPr>
          <w:b w:val="0"/>
        </w:rPr>
        <w:tab/>
      </w:r>
      <w:r w:rsidRPr="00932F66">
        <w:rPr>
          <w:b w:val="0"/>
        </w:rPr>
        <w:tab/>
        <w:t>(Розділ 10 Класифікатора);</w:t>
      </w:r>
    </w:p>
    <w:p w:rsidR="004A7977" w:rsidRDefault="000D5754" w:rsidP="004A7977">
      <w:pPr>
        <w:pStyle w:val="aa"/>
        <w:spacing w:before="240" w:line="276" w:lineRule="auto"/>
        <w:ind w:firstLine="708"/>
        <w:jc w:val="both"/>
        <w:rPr>
          <w:b w:val="0"/>
        </w:rPr>
      </w:pPr>
      <w:r w:rsidRPr="00932F66">
        <w:rPr>
          <w:b w:val="0"/>
        </w:rPr>
        <w:t xml:space="preserve">√ </w:t>
      </w:r>
      <w:r w:rsidRPr="00932F66">
        <w:rPr>
          <w:lang w:val="ru-RU"/>
        </w:rPr>
        <w:t>7</w:t>
      </w:r>
      <w:r w:rsidRPr="00932F66">
        <w:rPr>
          <w:b w:val="0"/>
        </w:rPr>
        <w:t xml:space="preserve"> рішень або </w:t>
      </w:r>
      <w:r w:rsidRPr="00932F66">
        <w:t>1,5</w:t>
      </w:r>
      <w:r w:rsidRPr="00932F66">
        <w:rPr>
          <w:b w:val="0"/>
        </w:rPr>
        <w:t>% скасованих (із 455)- у справах зі спорів з приводу забезпечення юстиції</w:t>
      </w:r>
      <w:r w:rsidRPr="00932F66">
        <w:rPr>
          <w:b w:val="0"/>
        </w:rPr>
        <w:tab/>
      </w:r>
      <w:r w:rsidRPr="00932F66">
        <w:rPr>
          <w:b w:val="0"/>
        </w:rPr>
        <w:tab/>
      </w:r>
      <w:r w:rsidRPr="00932F66">
        <w:rPr>
          <w:b w:val="0"/>
        </w:rPr>
        <w:tab/>
      </w:r>
      <w:r w:rsidRPr="00932F66">
        <w:rPr>
          <w:b w:val="0"/>
        </w:rPr>
        <w:tab/>
      </w:r>
      <w:r w:rsidRPr="00932F66">
        <w:rPr>
          <w:b w:val="0"/>
        </w:rPr>
        <w:tab/>
      </w:r>
    </w:p>
    <w:p w:rsidR="000D5754" w:rsidRPr="00932F66" w:rsidRDefault="000D5754" w:rsidP="004A7977">
      <w:pPr>
        <w:pStyle w:val="aa"/>
        <w:spacing w:before="240" w:line="276" w:lineRule="auto"/>
        <w:ind w:left="4248" w:firstLine="708"/>
        <w:jc w:val="both"/>
        <w:rPr>
          <w:b w:val="0"/>
        </w:rPr>
      </w:pPr>
      <w:r w:rsidRPr="00932F66">
        <w:rPr>
          <w:b w:val="0"/>
        </w:rPr>
        <w:t>(Розділ 11 Класифікатора);</w:t>
      </w:r>
    </w:p>
    <w:p w:rsidR="004A7977" w:rsidRDefault="000D5754" w:rsidP="004A7977">
      <w:pPr>
        <w:pStyle w:val="aa"/>
        <w:spacing w:before="240" w:line="276" w:lineRule="auto"/>
        <w:ind w:firstLine="708"/>
        <w:jc w:val="both"/>
        <w:rPr>
          <w:b w:val="0"/>
        </w:rPr>
      </w:pPr>
      <w:r w:rsidRPr="00932F66">
        <w:rPr>
          <w:b w:val="0"/>
        </w:rPr>
        <w:t xml:space="preserve">√ </w:t>
      </w:r>
      <w:r w:rsidRPr="00932F66">
        <w:t>34</w:t>
      </w:r>
      <w:r w:rsidRPr="00932F66">
        <w:rPr>
          <w:b w:val="0"/>
        </w:rPr>
        <w:t xml:space="preserve"> рішення або </w:t>
      </w:r>
      <w:r w:rsidRPr="00932F66">
        <w:t>7,5</w:t>
      </w:r>
      <w:r w:rsidRPr="00932F66">
        <w:rPr>
          <w:b w:val="0"/>
        </w:rPr>
        <w:t>% скасованих (із 455) - у справах зі спорів з відносин публічної служби</w:t>
      </w:r>
      <w:r w:rsidRPr="00932F66">
        <w:rPr>
          <w:b w:val="0"/>
        </w:rPr>
        <w:tab/>
      </w:r>
      <w:r w:rsidRPr="00932F66">
        <w:rPr>
          <w:b w:val="0"/>
        </w:rPr>
        <w:tab/>
      </w:r>
      <w:r w:rsidRPr="00932F66">
        <w:rPr>
          <w:b w:val="0"/>
        </w:rPr>
        <w:tab/>
      </w:r>
      <w:r w:rsidRPr="00932F66">
        <w:rPr>
          <w:b w:val="0"/>
        </w:rPr>
        <w:tab/>
      </w:r>
    </w:p>
    <w:p w:rsidR="000D5754" w:rsidRPr="00932F66" w:rsidRDefault="000D5754" w:rsidP="004A7977">
      <w:pPr>
        <w:pStyle w:val="aa"/>
        <w:spacing w:before="240" w:line="276" w:lineRule="auto"/>
        <w:ind w:left="4248" w:firstLine="708"/>
        <w:jc w:val="both"/>
        <w:rPr>
          <w:b w:val="0"/>
        </w:rPr>
      </w:pPr>
      <w:r w:rsidRPr="00932F66">
        <w:rPr>
          <w:b w:val="0"/>
        </w:rPr>
        <w:t>(Розділ 12 Класифікатора).</w:t>
      </w:r>
    </w:p>
    <w:p w:rsidR="000D5754" w:rsidRPr="00932F66" w:rsidRDefault="000D5754" w:rsidP="004A7977">
      <w:pPr>
        <w:pStyle w:val="aa"/>
        <w:spacing w:before="240" w:line="276" w:lineRule="auto"/>
        <w:ind w:firstLine="708"/>
        <w:jc w:val="both"/>
        <w:rPr>
          <w:b w:val="0"/>
          <w:noProof/>
        </w:rPr>
      </w:pPr>
      <w:r w:rsidRPr="00932F66">
        <w:rPr>
          <w:b w:val="0"/>
        </w:rPr>
        <w:t>Як бачимо станом на 03.10.</w:t>
      </w:r>
      <w:r w:rsidRPr="00932F66">
        <w:rPr>
          <w:b w:val="0"/>
          <w:lang w:val="ru-RU"/>
        </w:rPr>
        <w:t xml:space="preserve">2018р., </w:t>
      </w:r>
      <w:r w:rsidRPr="00932F66">
        <w:rPr>
          <w:b w:val="0"/>
        </w:rPr>
        <w:t xml:space="preserve">як і </w:t>
      </w:r>
      <w:r w:rsidRPr="00932F66">
        <w:rPr>
          <w:b w:val="0"/>
          <w:lang w:val="ru-RU"/>
        </w:rPr>
        <w:t xml:space="preserve">у </w:t>
      </w:r>
      <w:r w:rsidRPr="00932F66">
        <w:rPr>
          <w:b w:val="0"/>
        </w:rPr>
        <w:t>чотирьох попередніх</w:t>
      </w:r>
      <w:r w:rsidRPr="00932F66">
        <w:rPr>
          <w:b w:val="0"/>
          <w:lang w:val="ru-RU"/>
        </w:rPr>
        <w:t xml:space="preserve"> 2014, 2015, </w:t>
      </w:r>
      <w:r w:rsidRPr="00932F66">
        <w:rPr>
          <w:b w:val="0"/>
        </w:rPr>
        <w:t xml:space="preserve">2016 та 2017 роках, найбільша питома частка скасованих рішень припадає на справи, </w:t>
      </w:r>
      <w:r w:rsidRPr="00932F66">
        <w:rPr>
          <w:b w:val="0"/>
          <w:noProof/>
        </w:rPr>
        <w:t>пов’язані:</w:t>
      </w:r>
    </w:p>
    <w:p w:rsidR="000D5754" w:rsidRPr="00932F66" w:rsidRDefault="000D5754" w:rsidP="00EE79A1">
      <w:pPr>
        <w:pStyle w:val="aa"/>
        <w:numPr>
          <w:ilvl w:val="0"/>
          <w:numId w:val="1"/>
        </w:numPr>
        <w:spacing w:before="240" w:line="276" w:lineRule="auto"/>
        <w:ind w:left="709" w:firstLine="0"/>
        <w:jc w:val="both"/>
        <w:rPr>
          <w:b w:val="0"/>
        </w:rPr>
      </w:pPr>
      <w:r w:rsidRPr="00932F66">
        <w:rPr>
          <w:b w:val="0"/>
        </w:rPr>
        <w:t>з адмініструванням податків, зборів, платежів, а також контролем за дотриманням вимог податкового законодавства</w:t>
      </w:r>
    </w:p>
    <w:p w:rsidR="000D5754" w:rsidRPr="00932F66" w:rsidRDefault="000D5754" w:rsidP="004A7977">
      <w:pPr>
        <w:pStyle w:val="aa"/>
        <w:spacing w:before="240" w:line="276" w:lineRule="auto"/>
        <w:ind w:left="5665"/>
        <w:jc w:val="both"/>
        <w:rPr>
          <w:b w:val="0"/>
        </w:rPr>
      </w:pPr>
      <w:r w:rsidRPr="00932F66">
        <w:rPr>
          <w:b w:val="0"/>
        </w:rPr>
        <w:t>(Розділ 8 Класифікатора)</w:t>
      </w:r>
    </w:p>
    <w:p w:rsidR="000D5754" w:rsidRPr="00932F66" w:rsidRDefault="000D5754" w:rsidP="004A7977">
      <w:pPr>
        <w:pStyle w:val="aa"/>
        <w:spacing w:before="240" w:line="276" w:lineRule="auto"/>
        <w:ind w:left="2833"/>
        <w:jc w:val="both"/>
        <w:rPr>
          <w:b w:val="0"/>
        </w:rPr>
      </w:pPr>
      <w:r w:rsidRPr="00932F66">
        <w:rPr>
          <w:b w:val="0"/>
        </w:rPr>
        <w:t xml:space="preserve">((у 2014р. скасовано </w:t>
      </w:r>
      <w:r w:rsidRPr="00932F66">
        <w:t>248</w:t>
      </w:r>
      <w:r w:rsidRPr="00932F66">
        <w:rPr>
          <w:b w:val="0"/>
        </w:rPr>
        <w:t xml:space="preserve"> рішень або </w:t>
      </w:r>
      <w:r w:rsidRPr="00932F66">
        <w:t>28,5</w:t>
      </w:r>
      <w:r w:rsidRPr="00932F66">
        <w:rPr>
          <w:b w:val="0"/>
        </w:rPr>
        <w:t>% (з 869),</w:t>
      </w:r>
    </w:p>
    <w:p w:rsidR="000D5754" w:rsidRPr="00932F66" w:rsidRDefault="000D5754" w:rsidP="004A7977">
      <w:pPr>
        <w:pStyle w:val="aa"/>
        <w:spacing w:before="240" w:line="276" w:lineRule="auto"/>
        <w:ind w:left="2126" w:firstLine="707"/>
        <w:jc w:val="both"/>
        <w:rPr>
          <w:b w:val="0"/>
        </w:rPr>
      </w:pPr>
      <w:r w:rsidRPr="00932F66">
        <w:rPr>
          <w:b w:val="0"/>
        </w:rPr>
        <w:t xml:space="preserve">(у 2015р. скасовано </w:t>
      </w:r>
      <w:r w:rsidRPr="00932F66">
        <w:t>392</w:t>
      </w:r>
      <w:r w:rsidRPr="00932F66">
        <w:rPr>
          <w:b w:val="0"/>
        </w:rPr>
        <w:t xml:space="preserve"> рішення або </w:t>
      </w:r>
      <w:r w:rsidRPr="00932F66">
        <w:t>31,8</w:t>
      </w:r>
      <w:r w:rsidRPr="00932F66">
        <w:rPr>
          <w:b w:val="0"/>
        </w:rPr>
        <w:t>% (з 1233),</w:t>
      </w:r>
    </w:p>
    <w:p w:rsidR="000D5754" w:rsidRPr="00932F66" w:rsidRDefault="000D5754" w:rsidP="004A7977">
      <w:pPr>
        <w:pStyle w:val="aa"/>
        <w:spacing w:before="240" w:line="276" w:lineRule="auto"/>
        <w:ind w:left="2125" w:firstLine="707"/>
        <w:jc w:val="both"/>
        <w:rPr>
          <w:b w:val="0"/>
        </w:rPr>
      </w:pPr>
      <w:r w:rsidRPr="00932F66">
        <w:rPr>
          <w:b w:val="0"/>
        </w:rPr>
        <w:t xml:space="preserve">(у 2016р. скасовано </w:t>
      </w:r>
      <w:r w:rsidRPr="00932F66">
        <w:t>276</w:t>
      </w:r>
      <w:r w:rsidRPr="00932F66">
        <w:rPr>
          <w:b w:val="0"/>
        </w:rPr>
        <w:t xml:space="preserve"> рішень або </w:t>
      </w:r>
      <w:r w:rsidRPr="00932F66">
        <w:t>29,7</w:t>
      </w:r>
      <w:r w:rsidRPr="00932F66">
        <w:rPr>
          <w:b w:val="0"/>
        </w:rPr>
        <w:t>% (з 930));</w:t>
      </w:r>
    </w:p>
    <w:p w:rsidR="000D5754" w:rsidRPr="00932F66" w:rsidRDefault="000D5754" w:rsidP="004A7977">
      <w:pPr>
        <w:pStyle w:val="aa"/>
        <w:spacing w:before="240" w:line="276" w:lineRule="auto"/>
        <w:ind w:left="2125" w:firstLine="707"/>
        <w:jc w:val="both"/>
        <w:rPr>
          <w:b w:val="0"/>
        </w:rPr>
      </w:pPr>
      <w:r w:rsidRPr="00932F66">
        <w:rPr>
          <w:b w:val="0"/>
        </w:rPr>
        <w:lastRenderedPageBreak/>
        <w:t xml:space="preserve">(у 2017р. скасовано </w:t>
      </w:r>
      <w:r w:rsidRPr="00932F66">
        <w:t>111</w:t>
      </w:r>
      <w:r w:rsidRPr="00932F66">
        <w:rPr>
          <w:b w:val="0"/>
        </w:rPr>
        <w:t xml:space="preserve">рішень або </w:t>
      </w:r>
      <w:r w:rsidRPr="00932F66">
        <w:t>25,4</w:t>
      </w:r>
      <w:r w:rsidRPr="00932F66">
        <w:rPr>
          <w:b w:val="0"/>
        </w:rPr>
        <w:t>% (з 437));</w:t>
      </w:r>
    </w:p>
    <w:p w:rsidR="000D5754" w:rsidRPr="00932F66" w:rsidRDefault="000D5754" w:rsidP="00EE79A1">
      <w:pPr>
        <w:pStyle w:val="aa"/>
        <w:numPr>
          <w:ilvl w:val="0"/>
          <w:numId w:val="1"/>
        </w:numPr>
        <w:spacing w:before="240" w:line="276" w:lineRule="auto"/>
        <w:ind w:left="709" w:firstLine="0"/>
        <w:jc w:val="both"/>
        <w:rPr>
          <w:b w:val="0"/>
        </w:rPr>
      </w:pPr>
      <w:r w:rsidRPr="00932F66">
        <w:rPr>
          <w:b w:val="0"/>
          <w:noProof/>
        </w:rPr>
        <w:t xml:space="preserve">з </w:t>
      </w:r>
      <w:r w:rsidRPr="00932F66">
        <w:rPr>
          <w:b w:val="0"/>
        </w:rPr>
        <w:t xml:space="preserve">реалізацією публічної політики у сферах праці, зайнятості населення та соціального захисту громадян та спори у сфері публічної житлової політики     </w:t>
      </w:r>
      <w:r w:rsidRPr="00932F66">
        <w:rPr>
          <w:b w:val="0"/>
        </w:rPr>
        <w:tab/>
      </w:r>
      <w:r w:rsidRPr="00932F66">
        <w:rPr>
          <w:b w:val="0"/>
        </w:rPr>
        <w:tab/>
      </w:r>
      <w:r w:rsidRPr="00932F66">
        <w:rPr>
          <w:b w:val="0"/>
        </w:rPr>
        <w:tab/>
      </w:r>
      <w:r w:rsidRPr="00932F66">
        <w:rPr>
          <w:b w:val="0"/>
        </w:rPr>
        <w:tab/>
      </w:r>
      <w:r w:rsidRPr="00932F66">
        <w:rPr>
          <w:b w:val="0"/>
          <w:noProof/>
        </w:rPr>
        <w:t>(Розділ 10 Класифікатора)</w:t>
      </w:r>
    </w:p>
    <w:p w:rsidR="000D5754" w:rsidRPr="00932F66" w:rsidRDefault="000D5754" w:rsidP="004A7977">
      <w:pPr>
        <w:pStyle w:val="aa"/>
        <w:spacing w:before="240" w:line="276" w:lineRule="auto"/>
        <w:ind w:left="709"/>
        <w:jc w:val="both"/>
        <w:rPr>
          <w:b w:val="0"/>
        </w:rPr>
      </w:pPr>
      <w:r w:rsidRPr="00932F66">
        <w:rPr>
          <w:b w:val="0"/>
        </w:rPr>
        <w:tab/>
      </w:r>
      <w:r w:rsidRPr="00932F66">
        <w:rPr>
          <w:b w:val="0"/>
        </w:rPr>
        <w:tab/>
      </w:r>
      <w:r w:rsidRPr="00932F66">
        <w:rPr>
          <w:b w:val="0"/>
        </w:rPr>
        <w:tab/>
        <w:t xml:space="preserve">((у 2014р. скасовано </w:t>
      </w:r>
      <w:r w:rsidRPr="00932F66">
        <w:t>213</w:t>
      </w:r>
      <w:r w:rsidRPr="00932F66">
        <w:rPr>
          <w:b w:val="0"/>
        </w:rPr>
        <w:t xml:space="preserve"> рішень або </w:t>
      </w:r>
      <w:r w:rsidRPr="00932F66">
        <w:t>24,5</w:t>
      </w:r>
      <w:r w:rsidRPr="00932F66">
        <w:rPr>
          <w:b w:val="0"/>
        </w:rPr>
        <w:t>% (з 869),</w:t>
      </w:r>
    </w:p>
    <w:p w:rsidR="000D5754" w:rsidRPr="00932F66" w:rsidRDefault="000D5754" w:rsidP="004A7977">
      <w:pPr>
        <w:pStyle w:val="aa"/>
        <w:spacing w:before="240" w:line="276" w:lineRule="auto"/>
        <w:ind w:left="2125" w:firstLine="707"/>
        <w:jc w:val="both"/>
        <w:rPr>
          <w:b w:val="0"/>
        </w:rPr>
      </w:pPr>
      <w:r w:rsidRPr="00932F66">
        <w:rPr>
          <w:b w:val="0"/>
        </w:rPr>
        <w:t xml:space="preserve">(у 2015р. скасовано </w:t>
      </w:r>
      <w:r w:rsidRPr="00932F66">
        <w:t>282</w:t>
      </w:r>
      <w:r w:rsidRPr="00932F66">
        <w:rPr>
          <w:b w:val="0"/>
        </w:rPr>
        <w:t xml:space="preserve"> рішення або </w:t>
      </w:r>
      <w:r w:rsidRPr="00932F66">
        <w:t>22,9</w:t>
      </w:r>
      <w:r w:rsidRPr="00932F66">
        <w:rPr>
          <w:b w:val="0"/>
        </w:rPr>
        <w:t>% (з 1233),</w:t>
      </w:r>
    </w:p>
    <w:p w:rsidR="000D5754" w:rsidRPr="00932F66" w:rsidRDefault="000D5754" w:rsidP="004A7977">
      <w:pPr>
        <w:pStyle w:val="aa"/>
        <w:spacing w:before="240" w:line="276" w:lineRule="auto"/>
        <w:ind w:left="2125" w:firstLine="707"/>
        <w:jc w:val="both"/>
        <w:rPr>
          <w:b w:val="0"/>
        </w:rPr>
      </w:pPr>
      <w:r w:rsidRPr="00932F66">
        <w:rPr>
          <w:b w:val="0"/>
        </w:rPr>
        <w:t xml:space="preserve">(у 2016р. скасовано </w:t>
      </w:r>
      <w:r w:rsidRPr="00932F66">
        <w:t>201</w:t>
      </w:r>
      <w:r w:rsidRPr="00932F66">
        <w:rPr>
          <w:b w:val="0"/>
        </w:rPr>
        <w:t xml:space="preserve"> рішення або </w:t>
      </w:r>
      <w:r w:rsidRPr="00932F66">
        <w:t>21,6</w:t>
      </w:r>
      <w:r w:rsidRPr="00932F66">
        <w:rPr>
          <w:b w:val="0"/>
        </w:rPr>
        <w:t>% (з 930),</w:t>
      </w:r>
    </w:p>
    <w:p w:rsidR="000D5754" w:rsidRPr="00932F66" w:rsidRDefault="000D5754" w:rsidP="004A7977">
      <w:pPr>
        <w:pStyle w:val="aa"/>
        <w:spacing w:before="240" w:line="276" w:lineRule="auto"/>
        <w:ind w:left="2125" w:firstLine="707"/>
        <w:jc w:val="both"/>
        <w:rPr>
          <w:b w:val="0"/>
        </w:rPr>
      </w:pPr>
      <w:r w:rsidRPr="00932F66">
        <w:rPr>
          <w:b w:val="0"/>
        </w:rPr>
        <w:t xml:space="preserve">(у 2017р. скасовано </w:t>
      </w:r>
      <w:r w:rsidRPr="00932F66">
        <w:t>78</w:t>
      </w:r>
      <w:r w:rsidRPr="00932F66">
        <w:rPr>
          <w:b w:val="0"/>
        </w:rPr>
        <w:t xml:space="preserve"> рішень або </w:t>
      </w:r>
      <w:r w:rsidRPr="00932F66">
        <w:t>17,9</w:t>
      </w:r>
      <w:r w:rsidRPr="00932F66">
        <w:rPr>
          <w:b w:val="0"/>
        </w:rPr>
        <w:t>% (з 437)).</w:t>
      </w:r>
    </w:p>
    <w:p w:rsidR="000D5754" w:rsidRPr="00932F66" w:rsidRDefault="000D5754" w:rsidP="004A7977">
      <w:pPr>
        <w:pStyle w:val="aa"/>
        <w:spacing w:before="240" w:line="276" w:lineRule="auto"/>
        <w:ind w:firstLine="708"/>
        <w:jc w:val="both"/>
        <w:rPr>
          <w:b w:val="0"/>
        </w:rPr>
      </w:pPr>
      <w:r w:rsidRPr="00932F66">
        <w:rPr>
          <w:b w:val="0"/>
        </w:rPr>
        <w:t xml:space="preserve">Із </w:t>
      </w:r>
      <w:r w:rsidRPr="00932F66">
        <w:t>10</w:t>
      </w:r>
      <w:r w:rsidRPr="00932F66">
        <w:rPr>
          <w:b w:val="0"/>
        </w:rPr>
        <w:t xml:space="preserve"> змінених </w:t>
      </w:r>
      <w:r w:rsidRPr="00932F66">
        <w:rPr>
          <w:rFonts w:eastAsia="Calibri"/>
          <w:b w:val="0"/>
        </w:rPr>
        <w:t>за період з 01.01.2018 року по 03.10.2018 року</w:t>
      </w:r>
      <w:r w:rsidRPr="00932F66">
        <w:rPr>
          <w:b w:val="0"/>
        </w:rPr>
        <w:t>касаційною інстанцією рішень Львівського апеляційного адміністративного суду:</w:t>
      </w:r>
    </w:p>
    <w:p w:rsidR="000D5754" w:rsidRPr="00932F66" w:rsidRDefault="000D5754" w:rsidP="00EE79A1">
      <w:pPr>
        <w:pStyle w:val="aa"/>
        <w:numPr>
          <w:ilvl w:val="0"/>
          <w:numId w:val="1"/>
        </w:numPr>
        <w:spacing w:before="240" w:line="276" w:lineRule="auto"/>
        <w:jc w:val="both"/>
        <w:rPr>
          <w:b w:val="0"/>
        </w:rPr>
      </w:pPr>
      <w:r w:rsidRPr="00932F66">
        <w:t>1</w:t>
      </w:r>
      <w:r w:rsidRPr="00932F66">
        <w:rPr>
          <w:b w:val="0"/>
        </w:rPr>
        <w:t xml:space="preserve"> рішення ЛААС, постановлене у 2013 році;</w:t>
      </w:r>
    </w:p>
    <w:p w:rsidR="000D5754" w:rsidRPr="00932F66" w:rsidRDefault="000D5754" w:rsidP="00EE79A1">
      <w:pPr>
        <w:pStyle w:val="aa"/>
        <w:numPr>
          <w:ilvl w:val="0"/>
          <w:numId w:val="1"/>
        </w:numPr>
        <w:spacing w:before="240" w:line="276" w:lineRule="auto"/>
        <w:jc w:val="both"/>
        <w:rPr>
          <w:b w:val="0"/>
        </w:rPr>
      </w:pPr>
      <w:r w:rsidRPr="00932F66">
        <w:t>1</w:t>
      </w:r>
      <w:r w:rsidRPr="00932F66">
        <w:rPr>
          <w:b w:val="0"/>
        </w:rPr>
        <w:t xml:space="preserve"> рішення ЛААС, ухвалених у 2014 році;</w:t>
      </w:r>
    </w:p>
    <w:p w:rsidR="000D5754" w:rsidRPr="00932F66" w:rsidRDefault="000D5754" w:rsidP="00EE79A1">
      <w:pPr>
        <w:pStyle w:val="aa"/>
        <w:numPr>
          <w:ilvl w:val="0"/>
          <w:numId w:val="1"/>
        </w:numPr>
        <w:spacing w:before="240" w:line="276" w:lineRule="auto"/>
        <w:jc w:val="both"/>
        <w:rPr>
          <w:b w:val="0"/>
        </w:rPr>
      </w:pPr>
      <w:r w:rsidRPr="00932F66">
        <w:t>2</w:t>
      </w:r>
      <w:r w:rsidRPr="00932F66">
        <w:rPr>
          <w:b w:val="0"/>
        </w:rPr>
        <w:t xml:space="preserve"> рішення ЛААС, винесених у 2016 році; </w:t>
      </w:r>
    </w:p>
    <w:p w:rsidR="000D5754" w:rsidRPr="00932F66" w:rsidRDefault="000D5754" w:rsidP="00EE79A1">
      <w:pPr>
        <w:pStyle w:val="aa"/>
        <w:numPr>
          <w:ilvl w:val="0"/>
          <w:numId w:val="1"/>
        </w:numPr>
        <w:spacing w:before="240" w:line="276" w:lineRule="auto"/>
        <w:jc w:val="both"/>
        <w:rPr>
          <w:b w:val="0"/>
        </w:rPr>
      </w:pPr>
      <w:r w:rsidRPr="00932F66">
        <w:t>6</w:t>
      </w:r>
      <w:r w:rsidRPr="00932F66">
        <w:rPr>
          <w:b w:val="0"/>
        </w:rPr>
        <w:t xml:space="preserve"> рішення ЛААС, постановлених у 2017 році.</w:t>
      </w:r>
    </w:p>
    <w:p w:rsidR="000D5754" w:rsidRPr="00932F66" w:rsidRDefault="000D5754" w:rsidP="004A7977">
      <w:pPr>
        <w:pStyle w:val="aa"/>
        <w:spacing w:before="240" w:line="276" w:lineRule="auto"/>
        <w:ind w:firstLine="708"/>
        <w:jc w:val="both"/>
        <w:rPr>
          <w:b w:val="0"/>
        </w:rPr>
      </w:pPr>
      <w:r w:rsidRPr="00932F66">
        <w:rPr>
          <w:b w:val="0"/>
        </w:rPr>
        <w:t xml:space="preserve">Із змінених </w:t>
      </w:r>
      <w:r w:rsidRPr="00932F66">
        <w:rPr>
          <w:rFonts w:eastAsia="Calibri"/>
          <w:b w:val="0"/>
        </w:rPr>
        <w:t>за період з 01.01.2018 року по 03.10.2018 року</w:t>
      </w:r>
      <w:r w:rsidRPr="00932F66">
        <w:rPr>
          <w:b w:val="0"/>
        </w:rPr>
        <w:t>касаційною інстанцією рішень Львівського апеляційного адміністративного суду:</w:t>
      </w:r>
    </w:p>
    <w:p w:rsidR="000D5754" w:rsidRPr="00932F66" w:rsidRDefault="000D5754" w:rsidP="004A7977">
      <w:pPr>
        <w:pStyle w:val="aa"/>
        <w:spacing w:before="240" w:line="276" w:lineRule="auto"/>
        <w:ind w:firstLine="708"/>
        <w:jc w:val="both"/>
        <w:rPr>
          <w:b w:val="0"/>
        </w:rPr>
      </w:pPr>
      <w:bookmarkStart w:id="0" w:name="_GoBack"/>
      <w:bookmarkEnd w:id="0"/>
      <w:r w:rsidRPr="00932F66">
        <w:rPr>
          <w:b w:val="0"/>
        </w:rPr>
        <w:t xml:space="preserve">√ </w:t>
      </w:r>
      <w:r w:rsidRPr="00932F66">
        <w:t>4</w:t>
      </w:r>
      <w:r w:rsidRPr="00932F66">
        <w:rPr>
          <w:b w:val="0"/>
        </w:rPr>
        <w:t xml:space="preserve"> рішення або </w:t>
      </w:r>
      <w:r w:rsidRPr="00932F66">
        <w:t>40,0</w:t>
      </w:r>
      <w:r w:rsidRPr="00932F66">
        <w:rPr>
          <w:b w:val="0"/>
        </w:rPr>
        <w:t xml:space="preserve">% змінених (з 10) - у справах зі спорів з приводу адміністрування податків, зборів, платежів, а також контролю за дотриманням вимог податкового законодавства  </w:t>
      </w:r>
    </w:p>
    <w:p w:rsidR="000D5754" w:rsidRPr="00932F66" w:rsidRDefault="000D5754" w:rsidP="004A7977">
      <w:pPr>
        <w:pStyle w:val="aa"/>
        <w:spacing w:before="240" w:line="276" w:lineRule="auto"/>
        <w:ind w:left="5664"/>
        <w:jc w:val="both"/>
        <w:rPr>
          <w:b w:val="0"/>
        </w:rPr>
      </w:pPr>
      <w:r w:rsidRPr="00932F66">
        <w:rPr>
          <w:b w:val="0"/>
        </w:rPr>
        <w:t xml:space="preserve">      (Розділ 8 Класифікатора);</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2</w:t>
      </w:r>
      <w:r w:rsidRPr="00932F66">
        <w:rPr>
          <w:b w:val="0"/>
        </w:rPr>
        <w:t xml:space="preserve"> рішення або </w:t>
      </w:r>
      <w:r w:rsidRPr="00932F66">
        <w:t>20,0</w:t>
      </w:r>
      <w:r w:rsidRPr="00932F66">
        <w:rPr>
          <w:b w:val="0"/>
        </w:rPr>
        <w:t>% змінених (з 10) - у справах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r w:rsidRPr="00932F66">
        <w:rPr>
          <w:b w:val="0"/>
        </w:rPr>
        <w:tab/>
      </w:r>
      <w:r w:rsidRPr="00932F66">
        <w:rPr>
          <w:b w:val="0"/>
        </w:rPr>
        <w:tab/>
      </w:r>
      <w:r w:rsidRPr="00932F66">
        <w:rPr>
          <w:b w:val="0"/>
        </w:rPr>
        <w:tab/>
      </w:r>
      <w:r w:rsidRPr="00932F66">
        <w:rPr>
          <w:b w:val="0"/>
        </w:rPr>
        <w:tab/>
      </w:r>
      <w:r w:rsidRPr="00932F66">
        <w:rPr>
          <w:b w:val="0"/>
        </w:rPr>
        <w:tab/>
      </w:r>
      <w:r w:rsidRPr="00932F66">
        <w:rPr>
          <w:b w:val="0"/>
        </w:rPr>
        <w:tab/>
      </w:r>
      <w:r w:rsidRPr="00932F66">
        <w:rPr>
          <w:b w:val="0"/>
        </w:rPr>
        <w:tab/>
      </w:r>
      <w:r w:rsidRPr="00932F66">
        <w:rPr>
          <w:b w:val="0"/>
        </w:rPr>
        <w:tab/>
        <w:t xml:space="preserve">      (Розділ 10 Класифікатора);</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1</w:t>
      </w:r>
      <w:r w:rsidRPr="00932F66">
        <w:rPr>
          <w:b w:val="0"/>
        </w:rPr>
        <w:t xml:space="preserve"> рішення або </w:t>
      </w:r>
      <w:r w:rsidRPr="00932F66">
        <w:t>10,0</w:t>
      </w:r>
      <w:r w:rsidRPr="00932F66">
        <w:rPr>
          <w:b w:val="0"/>
        </w:rPr>
        <w:t xml:space="preserve">% змінених (з 10) - у справах зі спорів з приводу забезпечення юстиції </w:t>
      </w:r>
      <w:r w:rsidRPr="00932F66">
        <w:rPr>
          <w:b w:val="0"/>
        </w:rPr>
        <w:tab/>
      </w:r>
      <w:r w:rsidRPr="00932F66">
        <w:rPr>
          <w:b w:val="0"/>
        </w:rPr>
        <w:tab/>
      </w:r>
      <w:r w:rsidRPr="00932F66">
        <w:rPr>
          <w:b w:val="0"/>
        </w:rPr>
        <w:tab/>
      </w:r>
      <w:r w:rsidRPr="00932F66">
        <w:rPr>
          <w:b w:val="0"/>
        </w:rPr>
        <w:tab/>
      </w:r>
      <w:r w:rsidRPr="00932F66">
        <w:rPr>
          <w:b w:val="0"/>
        </w:rPr>
        <w:tab/>
        <w:t xml:space="preserve">      (Розділ 11 Класифікатора);</w:t>
      </w:r>
    </w:p>
    <w:p w:rsidR="000D5754" w:rsidRPr="00932F66" w:rsidRDefault="000D5754" w:rsidP="004A7977">
      <w:pPr>
        <w:pStyle w:val="aa"/>
        <w:spacing w:before="240" w:line="276" w:lineRule="auto"/>
        <w:ind w:firstLine="708"/>
        <w:jc w:val="both"/>
        <w:rPr>
          <w:b w:val="0"/>
        </w:rPr>
      </w:pPr>
      <w:r w:rsidRPr="00932F66">
        <w:rPr>
          <w:b w:val="0"/>
        </w:rPr>
        <w:t xml:space="preserve">√ </w:t>
      </w:r>
      <w:r w:rsidRPr="00932F66">
        <w:t>3</w:t>
      </w:r>
      <w:r w:rsidRPr="00932F66">
        <w:rPr>
          <w:b w:val="0"/>
        </w:rPr>
        <w:t xml:space="preserve"> рішення або </w:t>
      </w:r>
      <w:r w:rsidRPr="00932F66">
        <w:t>30,0</w:t>
      </w:r>
      <w:r w:rsidRPr="00932F66">
        <w:rPr>
          <w:b w:val="0"/>
        </w:rPr>
        <w:t>% змінених (з 10) - у справах зі спорів з відносин публічної служби</w:t>
      </w:r>
      <w:r w:rsidRPr="00932F66">
        <w:rPr>
          <w:b w:val="0"/>
        </w:rPr>
        <w:tab/>
      </w:r>
      <w:r w:rsidRPr="00932F66">
        <w:rPr>
          <w:b w:val="0"/>
        </w:rPr>
        <w:tab/>
      </w:r>
      <w:r w:rsidRPr="00932F66">
        <w:rPr>
          <w:b w:val="0"/>
        </w:rPr>
        <w:tab/>
      </w:r>
      <w:r w:rsidRPr="00932F66">
        <w:rPr>
          <w:b w:val="0"/>
        </w:rPr>
        <w:tab/>
      </w:r>
      <w:r w:rsidRPr="00932F66">
        <w:rPr>
          <w:b w:val="0"/>
        </w:rPr>
        <w:tab/>
      </w:r>
      <w:r w:rsidRPr="00932F66">
        <w:rPr>
          <w:b w:val="0"/>
        </w:rPr>
        <w:tab/>
        <w:t xml:space="preserve">      (Розділ 12 Класифікатора).</w:t>
      </w:r>
    </w:p>
    <w:p w:rsidR="000D5754" w:rsidRPr="00932F66" w:rsidRDefault="000D5754" w:rsidP="004A7977">
      <w:pPr>
        <w:pStyle w:val="aa"/>
        <w:spacing w:before="240" w:line="276" w:lineRule="auto"/>
        <w:ind w:firstLine="708"/>
        <w:jc w:val="both"/>
        <w:rPr>
          <w:b w:val="0"/>
          <w:noProof/>
        </w:rPr>
      </w:pPr>
      <w:r w:rsidRPr="00932F66">
        <w:rPr>
          <w:b w:val="0"/>
        </w:rPr>
        <w:lastRenderedPageBreak/>
        <w:t xml:space="preserve">Як бачимо станом на 03.10.2018р., як і у чотирьох попередніх 2014, 2015, 2016 та 2017 роках, найбільша питома частка змінених рішень припадає на справи, </w:t>
      </w:r>
      <w:r w:rsidRPr="00932F66">
        <w:rPr>
          <w:b w:val="0"/>
          <w:noProof/>
        </w:rPr>
        <w:t>пов’язані:</w:t>
      </w:r>
    </w:p>
    <w:p w:rsidR="000D5754" w:rsidRPr="00932F66" w:rsidRDefault="000D5754" w:rsidP="00EE79A1">
      <w:pPr>
        <w:pStyle w:val="aa"/>
        <w:numPr>
          <w:ilvl w:val="0"/>
          <w:numId w:val="1"/>
        </w:numPr>
        <w:spacing w:before="240" w:line="276" w:lineRule="auto"/>
        <w:jc w:val="both"/>
        <w:rPr>
          <w:b w:val="0"/>
        </w:rPr>
      </w:pPr>
      <w:r w:rsidRPr="00932F66">
        <w:rPr>
          <w:b w:val="0"/>
        </w:rPr>
        <w:t>з адмініструванням податків, зборів, платежів, а також контролем за дотриманням вимог податкового законодавства</w:t>
      </w:r>
    </w:p>
    <w:p w:rsidR="000D5754" w:rsidRPr="00932F66" w:rsidRDefault="000D5754" w:rsidP="004A7977">
      <w:pPr>
        <w:pStyle w:val="aa"/>
        <w:spacing w:before="240" w:line="276" w:lineRule="auto"/>
        <w:jc w:val="left"/>
        <w:rPr>
          <w:b w:val="0"/>
        </w:rPr>
      </w:pPr>
      <w:r w:rsidRPr="00932F66">
        <w:rPr>
          <w:b w:val="0"/>
        </w:rPr>
        <w:t>(Розділ 8 Класифікатора)</w:t>
      </w:r>
    </w:p>
    <w:p w:rsidR="000D5754" w:rsidRPr="00932F66" w:rsidRDefault="000D5754" w:rsidP="004A7977">
      <w:pPr>
        <w:pStyle w:val="aa"/>
        <w:spacing w:before="240" w:line="276" w:lineRule="auto"/>
        <w:ind w:left="1134"/>
        <w:jc w:val="both"/>
        <w:rPr>
          <w:b w:val="0"/>
        </w:rPr>
      </w:pPr>
      <w:r w:rsidRPr="00932F66">
        <w:rPr>
          <w:b w:val="0"/>
        </w:rPr>
        <w:t xml:space="preserve">(у 2014р змінено </w:t>
      </w:r>
      <w:r w:rsidRPr="00932F66">
        <w:t>11</w:t>
      </w:r>
      <w:r w:rsidRPr="00932F66">
        <w:rPr>
          <w:b w:val="0"/>
        </w:rPr>
        <w:t xml:space="preserve"> рішень або </w:t>
      </w:r>
      <w:r w:rsidRPr="00932F66">
        <w:t>26,2</w:t>
      </w:r>
      <w:r w:rsidRPr="00932F66">
        <w:rPr>
          <w:b w:val="0"/>
        </w:rPr>
        <w:t>% (42),</w:t>
      </w:r>
    </w:p>
    <w:p w:rsidR="000D5754" w:rsidRPr="00932F66" w:rsidRDefault="000D5754" w:rsidP="004A7977">
      <w:pPr>
        <w:pStyle w:val="aa"/>
        <w:spacing w:before="240" w:line="276" w:lineRule="auto"/>
        <w:ind w:left="1134"/>
        <w:jc w:val="both"/>
        <w:rPr>
          <w:b w:val="0"/>
        </w:rPr>
      </w:pPr>
      <w:r w:rsidRPr="00932F66">
        <w:rPr>
          <w:b w:val="0"/>
        </w:rPr>
        <w:t xml:space="preserve">у 2015р. змінено </w:t>
      </w:r>
      <w:r w:rsidRPr="00932F66">
        <w:t>15</w:t>
      </w:r>
      <w:r w:rsidRPr="00932F66">
        <w:rPr>
          <w:b w:val="0"/>
        </w:rPr>
        <w:t xml:space="preserve"> рішень або </w:t>
      </w:r>
      <w:r w:rsidRPr="00932F66">
        <w:t>46,9</w:t>
      </w:r>
      <w:r w:rsidRPr="00932F66">
        <w:rPr>
          <w:b w:val="0"/>
        </w:rPr>
        <w:t>% (32),</w:t>
      </w:r>
    </w:p>
    <w:p w:rsidR="000D5754" w:rsidRPr="00932F66" w:rsidRDefault="000D5754" w:rsidP="004A7977">
      <w:pPr>
        <w:pStyle w:val="aa"/>
        <w:spacing w:before="240" w:line="276" w:lineRule="auto"/>
        <w:ind w:left="1134"/>
        <w:jc w:val="both"/>
        <w:rPr>
          <w:b w:val="0"/>
        </w:rPr>
      </w:pPr>
      <w:r w:rsidRPr="00932F66">
        <w:rPr>
          <w:b w:val="0"/>
        </w:rPr>
        <w:t xml:space="preserve">у 2016р. змінено </w:t>
      </w:r>
      <w:r w:rsidRPr="00932F66">
        <w:t>5</w:t>
      </w:r>
      <w:r w:rsidRPr="00932F66">
        <w:rPr>
          <w:b w:val="0"/>
        </w:rPr>
        <w:t xml:space="preserve"> рішень або </w:t>
      </w:r>
      <w:r w:rsidRPr="00932F66">
        <w:t>25,0</w:t>
      </w:r>
      <w:r w:rsidRPr="00932F66">
        <w:rPr>
          <w:b w:val="0"/>
        </w:rPr>
        <w:t>% (20);</w:t>
      </w:r>
    </w:p>
    <w:p w:rsidR="000D5754" w:rsidRPr="00932F66" w:rsidRDefault="000D5754" w:rsidP="004A7977">
      <w:pPr>
        <w:pStyle w:val="aa"/>
        <w:spacing w:before="240" w:line="276" w:lineRule="auto"/>
        <w:ind w:left="1134"/>
        <w:jc w:val="both"/>
        <w:rPr>
          <w:b w:val="0"/>
        </w:rPr>
      </w:pPr>
      <w:r w:rsidRPr="00932F66">
        <w:rPr>
          <w:b w:val="0"/>
        </w:rPr>
        <w:t xml:space="preserve">у 2017р. змінено </w:t>
      </w:r>
      <w:r w:rsidRPr="00932F66">
        <w:t>5</w:t>
      </w:r>
      <w:r w:rsidRPr="00932F66">
        <w:rPr>
          <w:b w:val="0"/>
        </w:rPr>
        <w:t xml:space="preserve"> рішень або </w:t>
      </w:r>
      <w:r w:rsidRPr="00932F66">
        <w:t>50,0</w:t>
      </w:r>
      <w:r w:rsidRPr="00932F66">
        <w:rPr>
          <w:b w:val="0"/>
        </w:rPr>
        <w:t>% (10)).</w:t>
      </w:r>
    </w:p>
    <w:p w:rsidR="000D5754" w:rsidRPr="00932F66" w:rsidRDefault="000D5754" w:rsidP="004A7977">
      <w:pPr>
        <w:pStyle w:val="aa"/>
        <w:spacing w:before="240" w:line="276" w:lineRule="auto"/>
        <w:ind w:firstLine="708"/>
        <w:jc w:val="both"/>
        <w:rPr>
          <w:b w:val="0"/>
        </w:rPr>
      </w:pPr>
      <w:r w:rsidRPr="00932F66">
        <w:rPr>
          <w:b w:val="0"/>
        </w:rPr>
        <w:t xml:space="preserve">  Більш детальний аналіз скасованих та змінених касаційною інстанцією рішень Львівського апеляційного адміністративного суду систематично проводився на нарадах суддів, а рішення суду, що залишені касаційною інстанцією без змін, використовувалися в судовій практиці щодо вирішення окремих категорій справ.</w:t>
      </w:r>
    </w:p>
    <w:p w:rsidR="00A57442" w:rsidRDefault="00A57442" w:rsidP="004A7977">
      <w:pPr>
        <w:pStyle w:val="aff5"/>
        <w:spacing w:before="240" w:line="276" w:lineRule="auto"/>
        <w:ind w:firstLine="709"/>
        <w:jc w:val="both"/>
        <w:rPr>
          <w:rFonts w:ascii="Times New Roman" w:hAnsi="Times New Roman"/>
          <w:sz w:val="28"/>
          <w:szCs w:val="28"/>
          <w:lang w:val="uk-UA"/>
        </w:rPr>
      </w:pPr>
      <w:r w:rsidRPr="00932F66">
        <w:rPr>
          <w:rFonts w:ascii="Times New Roman" w:hAnsi="Times New Roman"/>
          <w:sz w:val="28"/>
          <w:szCs w:val="28"/>
          <w:lang w:val="uk-UA"/>
        </w:rPr>
        <w:tab/>
      </w:r>
    </w:p>
    <w:p w:rsidR="00932F66" w:rsidRPr="00777E34" w:rsidRDefault="00932F66" w:rsidP="004A7977">
      <w:pPr>
        <w:tabs>
          <w:tab w:val="left" w:pos="1134"/>
        </w:tabs>
        <w:spacing w:before="240"/>
        <w:jc w:val="both"/>
        <w:rPr>
          <w:b/>
          <w:color w:val="000000" w:themeColor="text1"/>
          <w:sz w:val="28"/>
          <w:szCs w:val="28"/>
          <w:lang w:val="uk-UA"/>
        </w:rPr>
      </w:pPr>
      <w:r w:rsidRPr="00777E34">
        <w:rPr>
          <w:b/>
          <w:color w:val="000000" w:themeColor="text1"/>
          <w:sz w:val="28"/>
          <w:szCs w:val="28"/>
          <w:lang w:val="uk-UA"/>
        </w:rPr>
        <w:t>Голова ліквідаційної комісії</w:t>
      </w:r>
    </w:p>
    <w:p w:rsidR="00932F66" w:rsidRPr="00777E34" w:rsidRDefault="00932F66" w:rsidP="00C90243">
      <w:pPr>
        <w:tabs>
          <w:tab w:val="left" w:pos="1134"/>
        </w:tabs>
        <w:jc w:val="both"/>
        <w:rPr>
          <w:b/>
          <w:color w:val="000000" w:themeColor="text1"/>
          <w:sz w:val="28"/>
          <w:szCs w:val="28"/>
          <w:lang w:val="uk-UA"/>
        </w:rPr>
      </w:pPr>
      <w:r w:rsidRPr="00777E34">
        <w:rPr>
          <w:b/>
          <w:color w:val="000000" w:themeColor="text1"/>
          <w:sz w:val="28"/>
          <w:szCs w:val="28"/>
          <w:lang w:val="uk-UA"/>
        </w:rPr>
        <w:t>Львівського апеляційного</w:t>
      </w:r>
    </w:p>
    <w:p w:rsidR="00932F66" w:rsidRPr="00777E34" w:rsidRDefault="00932F66" w:rsidP="00C90243">
      <w:pPr>
        <w:tabs>
          <w:tab w:val="left" w:pos="1134"/>
        </w:tabs>
        <w:ind w:right="-1"/>
        <w:jc w:val="both"/>
        <w:rPr>
          <w:color w:val="000000" w:themeColor="text1"/>
          <w:sz w:val="28"/>
          <w:szCs w:val="28"/>
          <w:lang w:val="uk-UA"/>
        </w:rPr>
      </w:pPr>
      <w:r w:rsidRPr="00777E34">
        <w:rPr>
          <w:b/>
          <w:color w:val="000000" w:themeColor="text1"/>
          <w:sz w:val="28"/>
          <w:szCs w:val="28"/>
          <w:lang w:val="uk-UA"/>
        </w:rPr>
        <w:t>адміністративного суду                                                 Є.В. Гультяєв</w:t>
      </w:r>
    </w:p>
    <w:p w:rsidR="00932F66" w:rsidRPr="00777E34" w:rsidRDefault="00932F66" w:rsidP="00C90243">
      <w:pPr>
        <w:tabs>
          <w:tab w:val="left" w:pos="1134"/>
        </w:tabs>
        <w:jc w:val="both"/>
        <w:rPr>
          <w:sz w:val="28"/>
          <w:szCs w:val="28"/>
          <w:lang w:val="uk-UA"/>
        </w:rPr>
      </w:pPr>
    </w:p>
    <w:p w:rsidR="00932F66" w:rsidRPr="00932F66" w:rsidRDefault="00932F66" w:rsidP="00C90243">
      <w:pPr>
        <w:spacing w:line="276" w:lineRule="auto"/>
        <w:ind w:firstLine="709"/>
        <w:jc w:val="both"/>
        <w:rPr>
          <w:sz w:val="28"/>
          <w:szCs w:val="28"/>
          <w:lang w:val="uk-UA"/>
        </w:rPr>
      </w:pPr>
    </w:p>
    <w:p w:rsidR="00932F66" w:rsidRPr="00932F66" w:rsidRDefault="00932F66" w:rsidP="00C90243">
      <w:pPr>
        <w:spacing w:line="276" w:lineRule="auto"/>
        <w:ind w:firstLine="709"/>
        <w:jc w:val="both"/>
        <w:rPr>
          <w:sz w:val="28"/>
          <w:szCs w:val="28"/>
          <w:lang w:val="uk-UA"/>
        </w:rPr>
      </w:pPr>
    </w:p>
    <w:p w:rsidR="00932F66" w:rsidRPr="00932F66" w:rsidRDefault="00932F66" w:rsidP="00C90243">
      <w:pPr>
        <w:tabs>
          <w:tab w:val="left" w:pos="1134"/>
        </w:tabs>
        <w:ind w:left="567"/>
        <w:jc w:val="both"/>
        <w:rPr>
          <w:i/>
          <w:color w:val="000000" w:themeColor="text1"/>
          <w:sz w:val="20"/>
          <w:szCs w:val="20"/>
          <w:lang w:val="uk-UA"/>
        </w:rPr>
      </w:pPr>
      <w:r w:rsidRPr="00932F66">
        <w:rPr>
          <w:i/>
          <w:color w:val="000000" w:themeColor="text1"/>
          <w:sz w:val="20"/>
          <w:szCs w:val="20"/>
          <w:lang w:val="uk-UA"/>
        </w:rPr>
        <w:t>Стельмах К.В.</w:t>
      </w:r>
    </w:p>
    <w:p w:rsidR="00932F66" w:rsidRPr="00932F66" w:rsidRDefault="00932F66" w:rsidP="00C90243">
      <w:pPr>
        <w:tabs>
          <w:tab w:val="left" w:pos="1134"/>
        </w:tabs>
        <w:ind w:left="567"/>
        <w:jc w:val="both"/>
        <w:rPr>
          <w:i/>
          <w:color w:val="000000" w:themeColor="text1"/>
          <w:sz w:val="20"/>
          <w:szCs w:val="20"/>
          <w:lang w:val="uk-UA"/>
        </w:rPr>
      </w:pPr>
      <w:r w:rsidRPr="00932F66">
        <w:rPr>
          <w:i/>
          <w:color w:val="000000" w:themeColor="text1"/>
          <w:sz w:val="20"/>
          <w:szCs w:val="20"/>
          <w:lang w:val="uk-UA"/>
        </w:rPr>
        <w:t>(032) 261-45-14</w:t>
      </w:r>
    </w:p>
    <w:p w:rsidR="00271E9B" w:rsidRPr="00932F66" w:rsidRDefault="00A57442" w:rsidP="00C90243">
      <w:pPr>
        <w:spacing w:line="276" w:lineRule="auto"/>
        <w:ind w:left="567"/>
        <w:jc w:val="both"/>
        <w:rPr>
          <w:i/>
          <w:sz w:val="22"/>
          <w:szCs w:val="22"/>
          <w:lang w:val="uk-UA"/>
        </w:rPr>
      </w:pPr>
      <w:r w:rsidRPr="00932F66">
        <w:rPr>
          <w:i/>
          <w:sz w:val="22"/>
          <w:szCs w:val="22"/>
          <w:lang w:val="uk-UA"/>
        </w:rPr>
        <w:t>надіслано ел. поштою</w:t>
      </w:r>
    </w:p>
    <w:sectPr w:rsidR="00271E9B" w:rsidRPr="00932F66" w:rsidSect="00E22900">
      <w:footerReference w:type="default" r:id="rId19"/>
      <w:type w:val="continuous"/>
      <w:pgSz w:w="11906" w:h="16838"/>
      <w:pgMar w:top="794" w:right="99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D46" w:rsidRDefault="00046D46" w:rsidP="00A57442">
      <w:r>
        <w:separator/>
      </w:r>
    </w:p>
  </w:endnote>
  <w:endnote w:type="continuationSeparator" w:id="1">
    <w:p w:rsidR="00046D46" w:rsidRDefault="00046D46" w:rsidP="00A57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3804"/>
      <w:docPartObj>
        <w:docPartGallery w:val="Page Numbers (Bottom of Page)"/>
        <w:docPartUnique/>
      </w:docPartObj>
    </w:sdtPr>
    <w:sdtContent>
      <w:p w:rsidR="00D32167" w:rsidRDefault="00D210A6">
        <w:pPr>
          <w:pStyle w:val="a5"/>
          <w:jc w:val="right"/>
        </w:pPr>
        <w:r>
          <w:fldChar w:fldCharType="begin"/>
        </w:r>
        <w:r w:rsidR="00D32167">
          <w:instrText xml:space="preserve"> PAGE   \* MERGEFORMAT </w:instrText>
        </w:r>
        <w:r>
          <w:fldChar w:fldCharType="separate"/>
        </w:r>
        <w:r w:rsidR="00111C1C">
          <w:rPr>
            <w:noProof/>
          </w:rPr>
          <w:t>1</w:t>
        </w:r>
        <w:r>
          <w:rPr>
            <w:noProof/>
          </w:rPr>
          <w:fldChar w:fldCharType="end"/>
        </w:r>
      </w:p>
    </w:sdtContent>
  </w:sdt>
  <w:p w:rsidR="00D32167" w:rsidRDefault="00D321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67" w:rsidRDefault="00D321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D46" w:rsidRDefault="00046D46" w:rsidP="00A57442">
      <w:r>
        <w:separator/>
      </w:r>
    </w:p>
  </w:footnote>
  <w:footnote w:type="continuationSeparator" w:id="1">
    <w:p w:rsidR="00046D46" w:rsidRDefault="00046D46" w:rsidP="00A57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67" w:rsidRPr="000254CE" w:rsidRDefault="00D32167" w:rsidP="000254CE">
    <w:pPr>
      <w:pStyle w:val="a3"/>
      <w:tabs>
        <w:tab w:val="clear" w:pos="4677"/>
        <w:tab w:val="clear" w:pos="9355"/>
        <w:tab w:val="left" w:pos="18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53817"/>
    <w:multiLevelType w:val="hybridMultilevel"/>
    <w:tmpl w:val="39500472"/>
    <w:lvl w:ilvl="0" w:tplc="6CCA1EF6">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2E05710"/>
    <w:multiLevelType w:val="multilevel"/>
    <w:tmpl w:val="22A430D4"/>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D086C48"/>
    <w:multiLevelType w:val="hybridMultilevel"/>
    <w:tmpl w:val="0896C796"/>
    <w:lvl w:ilvl="0" w:tplc="616CD6D4">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57442"/>
    <w:rsid w:val="00013E39"/>
    <w:rsid w:val="000254CE"/>
    <w:rsid w:val="00046D46"/>
    <w:rsid w:val="00050634"/>
    <w:rsid w:val="00056F45"/>
    <w:rsid w:val="00067753"/>
    <w:rsid w:val="00084A25"/>
    <w:rsid w:val="000A4EF1"/>
    <w:rsid w:val="000B4580"/>
    <w:rsid w:val="000C6BAF"/>
    <w:rsid w:val="000D5754"/>
    <w:rsid w:val="000E2060"/>
    <w:rsid w:val="000F0872"/>
    <w:rsid w:val="0011162C"/>
    <w:rsid w:val="00111C1C"/>
    <w:rsid w:val="001C2F97"/>
    <w:rsid w:val="00205325"/>
    <w:rsid w:val="002654A6"/>
    <w:rsid w:val="002661AE"/>
    <w:rsid w:val="00271E9B"/>
    <w:rsid w:val="00273443"/>
    <w:rsid w:val="002A0DBF"/>
    <w:rsid w:val="002B1843"/>
    <w:rsid w:val="002D4216"/>
    <w:rsid w:val="002E6FF8"/>
    <w:rsid w:val="003075A5"/>
    <w:rsid w:val="00330B81"/>
    <w:rsid w:val="003E6DBA"/>
    <w:rsid w:val="003E79F8"/>
    <w:rsid w:val="003F2448"/>
    <w:rsid w:val="00454BBB"/>
    <w:rsid w:val="00463BAB"/>
    <w:rsid w:val="004A7977"/>
    <w:rsid w:val="004C34EC"/>
    <w:rsid w:val="004D3602"/>
    <w:rsid w:val="0052718E"/>
    <w:rsid w:val="00570A7F"/>
    <w:rsid w:val="005A497B"/>
    <w:rsid w:val="005B03CE"/>
    <w:rsid w:val="00662115"/>
    <w:rsid w:val="00685259"/>
    <w:rsid w:val="006903B8"/>
    <w:rsid w:val="00754AB1"/>
    <w:rsid w:val="00756491"/>
    <w:rsid w:val="007816B0"/>
    <w:rsid w:val="007A69E6"/>
    <w:rsid w:val="007C1C50"/>
    <w:rsid w:val="007D0A3A"/>
    <w:rsid w:val="0083223B"/>
    <w:rsid w:val="008337AD"/>
    <w:rsid w:val="00875949"/>
    <w:rsid w:val="008A40FE"/>
    <w:rsid w:val="008A641C"/>
    <w:rsid w:val="008F3036"/>
    <w:rsid w:val="008F520C"/>
    <w:rsid w:val="00932F66"/>
    <w:rsid w:val="00941A4C"/>
    <w:rsid w:val="00952285"/>
    <w:rsid w:val="009C2E98"/>
    <w:rsid w:val="009D4E45"/>
    <w:rsid w:val="00A57442"/>
    <w:rsid w:val="00A57AC2"/>
    <w:rsid w:val="00A76DA4"/>
    <w:rsid w:val="00AE7027"/>
    <w:rsid w:val="00B01C5D"/>
    <w:rsid w:val="00B025DA"/>
    <w:rsid w:val="00B21469"/>
    <w:rsid w:val="00B8528F"/>
    <w:rsid w:val="00BF40FA"/>
    <w:rsid w:val="00C017F2"/>
    <w:rsid w:val="00C27316"/>
    <w:rsid w:val="00C611A1"/>
    <w:rsid w:val="00C82A84"/>
    <w:rsid w:val="00C90243"/>
    <w:rsid w:val="00CA5617"/>
    <w:rsid w:val="00CB007E"/>
    <w:rsid w:val="00CD3C4A"/>
    <w:rsid w:val="00D210A6"/>
    <w:rsid w:val="00D32167"/>
    <w:rsid w:val="00D4596F"/>
    <w:rsid w:val="00D92673"/>
    <w:rsid w:val="00DE02E7"/>
    <w:rsid w:val="00E22900"/>
    <w:rsid w:val="00E23B58"/>
    <w:rsid w:val="00E3054C"/>
    <w:rsid w:val="00E9456C"/>
    <w:rsid w:val="00E951F2"/>
    <w:rsid w:val="00EA4012"/>
    <w:rsid w:val="00EC348A"/>
    <w:rsid w:val="00ED2AA1"/>
    <w:rsid w:val="00EE79A1"/>
    <w:rsid w:val="00EF4EA3"/>
    <w:rsid w:val="00F87854"/>
    <w:rsid w:val="00FF1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7442"/>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A57442"/>
    <w:pPr>
      <w:keepNext/>
      <w:spacing w:before="240" w:after="60"/>
      <w:outlineLvl w:val="1"/>
    </w:pPr>
    <w:rPr>
      <w:rFonts w:ascii="Cambria" w:hAnsi="Cambria"/>
      <w:b/>
      <w:bCs/>
      <w:i/>
      <w:iCs/>
      <w:sz w:val="28"/>
      <w:szCs w:val="28"/>
      <w:lang w:val="uk-UA"/>
    </w:rPr>
  </w:style>
  <w:style w:type="paragraph" w:styleId="3">
    <w:name w:val="heading 3"/>
    <w:basedOn w:val="a"/>
    <w:next w:val="a"/>
    <w:link w:val="30"/>
    <w:uiPriority w:val="9"/>
    <w:qFormat/>
    <w:rsid w:val="00A57442"/>
    <w:pPr>
      <w:keepNext/>
      <w:keepLines/>
      <w:spacing w:before="200" w:line="276" w:lineRule="auto"/>
      <w:outlineLvl w:val="2"/>
    </w:pPr>
    <w:rPr>
      <w:rFonts w:ascii="Cambria" w:hAnsi="Cambria"/>
      <w:b/>
      <w:bCs/>
      <w:color w:val="4F81BD"/>
      <w:sz w:val="22"/>
      <w:szCs w:val="22"/>
      <w:lang w:eastAsia="en-US"/>
    </w:rPr>
  </w:style>
  <w:style w:type="paragraph" w:styleId="6">
    <w:name w:val="heading 6"/>
    <w:basedOn w:val="a"/>
    <w:link w:val="60"/>
    <w:uiPriority w:val="9"/>
    <w:qFormat/>
    <w:rsid w:val="00A57442"/>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442"/>
    <w:rPr>
      <w:rFonts w:ascii="Cambria" w:eastAsia="Times New Roman" w:hAnsi="Cambria" w:cs="Times New Roman"/>
      <w:b/>
      <w:bCs/>
      <w:color w:val="365F91"/>
      <w:sz w:val="28"/>
      <w:szCs w:val="28"/>
    </w:rPr>
  </w:style>
  <w:style w:type="character" w:customStyle="1" w:styleId="20">
    <w:name w:val="Заголовок 2 Знак"/>
    <w:basedOn w:val="a0"/>
    <w:link w:val="2"/>
    <w:rsid w:val="00A57442"/>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rsid w:val="00A57442"/>
    <w:rPr>
      <w:rFonts w:ascii="Cambria" w:eastAsia="Times New Roman" w:hAnsi="Cambria" w:cs="Times New Roman"/>
      <w:b/>
      <w:bCs/>
      <w:color w:val="4F81BD"/>
    </w:rPr>
  </w:style>
  <w:style w:type="character" w:customStyle="1" w:styleId="60">
    <w:name w:val="Заголовок 6 Знак"/>
    <w:basedOn w:val="a0"/>
    <w:link w:val="6"/>
    <w:uiPriority w:val="9"/>
    <w:rsid w:val="00A57442"/>
    <w:rPr>
      <w:rFonts w:ascii="Times New Roman" w:eastAsia="Times New Roman" w:hAnsi="Times New Roman" w:cs="Times New Roman"/>
      <w:b/>
      <w:bCs/>
      <w:sz w:val="15"/>
      <w:szCs w:val="15"/>
    </w:rPr>
  </w:style>
  <w:style w:type="paragraph" w:customStyle="1" w:styleId="FR1">
    <w:name w:val="FR1"/>
    <w:rsid w:val="00A57442"/>
    <w:pPr>
      <w:widowControl w:val="0"/>
      <w:autoSpaceDE w:val="0"/>
      <w:autoSpaceDN w:val="0"/>
      <w:adjustRightInd w:val="0"/>
      <w:spacing w:before="300" w:after="0" w:line="240" w:lineRule="auto"/>
    </w:pPr>
    <w:rPr>
      <w:rFonts w:ascii="Times New Roman" w:eastAsia="Times New Roman" w:hAnsi="Times New Roman" w:cs="Times New Roman"/>
      <w:b/>
      <w:bCs/>
      <w:sz w:val="28"/>
      <w:szCs w:val="28"/>
      <w:lang w:val="uk-UA" w:eastAsia="uk-UA"/>
    </w:rPr>
  </w:style>
  <w:style w:type="paragraph" w:styleId="a3">
    <w:name w:val="header"/>
    <w:basedOn w:val="a"/>
    <w:link w:val="a4"/>
    <w:uiPriority w:val="99"/>
    <w:rsid w:val="00A57442"/>
    <w:pPr>
      <w:tabs>
        <w:tab w:val="center" w:pos="4677"/>
        <w:tab w:val="right" w:pos="9355"/>
      </w:tabs>
    </w:pPr>
  </w:style>
  <w:style w:type="character" w:customStyle="1" w:styleId="a4">
    <w:name w:val="Верхний колонтитул Знак"/>
    <w:basedOn w:val="a0"/>
    <w:link w:val="a3"/>
    <w:uiPriority w:val="99"/>
    <w:rsid w:val="00A57442"/>
    <w:rPr>
      <w:rFonts w:ascii="Times New Roman" w:eastAsia="Times New Roman" w:hAnsi="Times New Roman" w:cs="Times New Roman"/>
      <w:sz w:val="24"/>
      <w:szCs w:val="24"/>
    </w:rPr>
  </w:style>
  <w:style w:type="paragraph" w:styleId="a5">
    <w:name w:val="footer"/>
    <w:basedOn w:val="a"/>
    <w:link w:val="a6"/>
    <w:uiPriority w:val="99"/>
    <w:rsid w:val="00A57442"/>
    <w:pPr>
      <w:tabs>
        <w:tab w:val="center" w:pos="4677"/>
        <w:tab w:val="right" w:pos="9355"/>
      </w:tabs>
    </w:pPr>
  </w:style>
  <w:style w:type="character" w:customStyle="1" w:styleId="a6">
    <w:name w:val="Нижний колонтитул Знак"/>
    <w:basedOn w:val="a0"/>
    <w:link w:val="a5"/>
    <w:uiPriority w:val="99"/>
    <w:rsid w:val="00A57442"/>
    <w:rPr>
      <w:rFonts w:ascii="Times New Roman" w:eastAsia="Times New Roman" w:hAnsi="Times New Roman" w:cs="Times New Roman"/>
      <w:sz w:val="24"/>
      <w:szCs w:val="24"/>
    </w:rPr>
  </w:style>
  <w:style w:type="paragraph" w:styleId="a7">
    <w:name w:val="Balloon Text"/>
    <w:basedOn w:val="a"/>
    <w:link w:val="a8"/>
    <w:rsid w:val="00A57442"/>
    <w:rPr>
      <w:rFonts w:ascii="Tahoma" w:hAnsi="Tahoma"/>
      <w:sz w:val="16"/>
      <w:szCs w:val="16"/>
    </w:rPr>
  </w:style>
  <w:style w:type="character" w:customStyle="1" w:styleId="a8">
    <w:name w:val="Текст выноски Знак"/>
    <w:basedOn w:val="a0"/>
    <w:link w:val="a7"/>
    <w:rsid w:val="00A57442"/>
    <w:rPr>
      <w:rFonts w:ascii="Tahoma" w:eastAsia="Times New Roman" w:hAnsi="Tahoma" w:cs="Times New Roman"/>
      <w:sz w:val="16"/>
      <w:szCs w:val="16"/>
    </w:rPr>
  </w:style>
  <w:style w:type="paragraph" w:styleId="a9">
    <w:name w:val="List Paragraph"/>
    <w:basedOn w:val="a"/>
    <w:uiPriority w:val="34"/>
    <w:qFormat/>
    <w:rsid w:val="00A57442"/>
    <w:pPr>
      <w:spacing w:after="200" w:line="276" w:lineRule="auto"/>
      <w:ind w:left="720"/>
      <w:contextualSpacing/>
    </w:pPr>
    <w:rPr>
      <w:rFonts w:ascii="Calibri" w:eastAsia="Calibri" w:hAnsi="Calibri"/>
      <w:sz w:val="22"/>
      <w:szCs w:val="22"/>
      <w:lang w:eastAsia="en-US"/>
    </w:rPr>
  </w:style>
  <w:style w:type="paragraph" w:styleId="aa">
    <w:name w:val="Title"/>
    <w:basedOn w:val="a"/>
    <w:link w:val="ab"/>
    <w:qFormat/>
    <w:rsid w:val="00A57442"/>
    <w:pPr>
      <w:jc w:val="center"/>
    </w:pPr>
    <w:rPr>
      <w:rFonts w:eastAsia="SimSun"/>
      <w:b/>
      <w:bCs/>
      <w:sz w:val="28"/>
      <w:szCs w:val="28"/>
      <w:lang w:val="uk-UA"/>
    </w:rPr>
  </w:style>
  <w:style w:type="character" w:customStyle="1" w:styleId="ab">
    <w:name w:val="Название Знак"/>
    <w:basedOn w:val="a0"/>
    <w:link w:val="aa"/>
    <w:rsid w:val="00A57442"/>
    <w:rPr>
      <w:rFonts w:ascii="Times New Roman" w:eastAsia="SimSun" w:hAnsi="Times New Roman" w:cs="Times New Roman"/>
      <w:b/>
      <w:bCs/>
      <w:sz w:val="28"/>
      <w:szCs w:val="28"/>
      <w:lang w:val="uk-UA"/>
    </w:rPr>
  </w:style>
  <w:style w:type="paragraph" w:styleId="ac">
    <w:name w:val="Normal (Web)"/>
    <w:basedOn w:val="a"/>
    <w:uiPriority w:val="99"/>
    <w:unhideWhenUsed/>
    <w:rsid w:val="00A57442"/>
    <w:pPr>
      <w:spacing w:before="100" w:beforeAutospacing="1" w:after="100" w:afterAutospacing="1"/>
    </w:pPr>
  </w:style>
  <w:style w:type="character" w:styleId="ad">
    <w:name w:val="Strong"/>
    <w:uiPriority w:val="22"/>
    <w:qFormat/>
    <w:rsid w:val="00A57442"/>
    <w:rPr>
      <w:b/>
      <w:bCs/>
    </w:rPr>
  </w:style>
  <w:style w:type="paragraph" w:styleId="ae">
    <w:name w:val="Plain Text"/>
    <w:basedOn w:val="a"/>
    <w:link w:val="af"/>
    <w:uiPriority w:val="99"/>
    <w:rsid w:val="00A57442"/>
    <w:rPr>
      <w:rFonts w:ascii="Courier New" w:hAnsi="Courier New"/>
      <w:sz w:val="20"/>
      <w:szCs w:val="20"/>
      <w:lang w:val="uk-UA" w:eastAsia="uk-UA"/>
    </w:rPr>
  </w:style>
  <w:style w:type="character" w:customStyle="1" w:styleId="af">
    <w:name w:val="Текст Знак"/>
    <w:basedOn w:val="a0"/>
    <w:link w:val="ae"/>
    <w:uiPriority w:val="99"/>
    <w:rsid w:val="00A57442"/>
    <w:rPr>
      <w:rFonts w:ascii="Courier New" w:eastAsia="Times New Roman" w:hAnsi="Courier New" w:cs="Times New Roman"/>
      <w:sz w:val="20"/>
      <w:szCs w:val="20"/>
      <w:lang w:val="uk-UA" w:eastAsia="uk-UA"/>
    </w:rPr>
  </w:style>
  <w:style w:type="character" w:customStyle="1" w:styleId="af0">
    <w:name w:val="Основной текст Знак"/>
    <w:link w:val="af1"/>
    <w:rsid w:val="00A57442"/>
    <w:rPr>
      <w:sz w:val="28"/>
      <w:lang w:val="uk-UA"/>
    </w:rPr>
  </w:style>
  <w:style w:type="paragraph" w:styleId="af1">
    <w:name w:val="Body Text"/>
    <w:basedOn w:val="a"/>
    <w:link w:val="af0"/>
    <w:rsid w:val="00A57442"/>
    <w:pPr>
      <w:jc w:val="both"/>
    </w:pPr>
    <w:rPr>
      <w:rFonts w:asciiTheme="minorHAnsi" w:eastAsiaTheme="minorHAnsi" w:hAnsiTheme="minorHAnsi" w:cstheme="minorBidi"/>
      <w:sz w:val="28"/>
      <w:szCs w:val="22"/>
      <w:lang w:val="uk-UA" w:eastAsia="en-US"/>
    </w:rPr>
  </w:style>
  <w:style w:type="character" w:customStyle="1" w:styleId="11">
    <w:name w:val="Основной текст Знак1"/>
    <w:basedOn w:val="a0"/>
    <w:rsid w:val="00A57442"/>
    <w:rPr>
      <w:rFonts w:ascii="Times New Roman" w:eastAsia="Times New Roman" w:hAnsi="Times New Roman" w:cs="Times New Roman"/>
      <w:sz w:val="24"/>
      <w:szCs w:val="24"/>
      <w:lang w:eastAsia="ru-RU"/>
    </w:rPr>
  </w:style>
  <w:style w:type="character" w:customStyle="1" w:styleId="21">
    <w:name w:val="Основной текст 2 Знак"/>
    <w:link w:val="22"/>
    <w:rsid w:val="00A57442"/>
    <w:rPr>
      <w:sz w:val="28"/>
      <w:lang w:val="uk-UA"/>
    </w:rPr>
  </w:style>
  <w:style w:type="paragraph" w:styleId="22">
    <w:name w:val="Body Text 2"/>
    <w:basedOn w:val="a"/>
    <w:link w:val="21"/>
    <w:rsid w:val="00A57442"/>
    <w:pPr>
      <w:ind w:right="-149"/>
      <w:jc w:val="both"/>
    </w:pPr>
    <w:rPr>
      <w:rFonts w:asciiTheme="minorHAnsi" w:eastAsiaTheme="minorHAnsi" w:hAnsiTheme="minorHAnsi" w:cstheme="minorBidi"/>
      <w:sz w:val="28"/>
      <w:szCs w:val="22"/>
      <w:lang w:val="uk-UA" w:eastAsia="en-US"/>
    </w:rPr>
  </w:style>
  <w:style w:type="character" w:customStyle="1" w:styleId="210">
    <w:name w:val="Основной текст 2 Знак1"/>
    <w:basedOn w:val="a0"/>
    <w:rsid w:val="00A57442"/>
    <w:rPr>
      <w:rFonts w:ascii="Times New Roman" w:eastAsia="Times New Roman" w:hAnsi="Times New Roman" w:cs="Times New Roman"/>
      <w:sz w:val="24"/>
      <w:szCs w:val="24"/>
      <w:lang w:eastAsia="ru-RU"/>
    </w:rPr>
  </w:style>
  <w:style w:type="character" w:customStyle="1" w:styleId="af2">
    <w:name w:val="Основной текст с отступом Знак"/>
    <w:link w:val="af3"/>
    <w:rsid w:val="00A57442"/>
    <w:rPr>
      <w:sz w:val="28"/>
    </w:rPr>
  </w:style>
  <w:style w:type="paragraph" w:styleId="af3">
    <w:name w:val="Body Text Indent"/>
    <w:basedOn w:val="a"/>
    <w:link w:val="af2"/>
    <w:rsid w:val="00A57442"/>
    <w:pPr>
      <w:ind w:firstLine="720"/>
      <w:jc w:val="both"/>
    </w:pPr>
    <w:rPr>
      <w:rFonts w:asciiTheme="minorHAnsi" w:eastAsiaTheme="minorHAnsi" w:hAnsiTheme="minorHAnsi" w:cstheme="minorBidi"/>
      <w:sz w:val="28"/>
      <w:szCs w:val="22"/>
      <w:lang w:eastAsia="en-US"/>
    </w:rPr>
  </w:style>
  <w:style w:type="character" w:customStyle="1" w:styleId="12">
    <w:name w:val="Основной текст с отступом Знак1"/>
    <w:basedOn w:val="a0"/>
    <w:rsid w:val="00A57442"/>
    <w:rPr>
      <w:rFonts w:ascii="Times New Roman" w:eastAsia="Times New Roman" w:hAnsi="Times New Roman" w:cs="Times New Roman"/>
      <w:sz w:val="24"/>
      <w:szCs w:val="24"/>
      <w:lang w:eastAsia="ru-RU"/>
    </w:rPr>
  </w:style>
  <w:style w:type="character" w:customStyle="1" w:styleId="af4">
    <w:name w:val="Схема документа Знак"/>
    <w:link w:val="af5"/>
    <w:rsid w:val="00A57442"/>
    <w:rPr>
      <w:rFonts w:ascii="Tahoma" w:hAnsi="Tahoma" w:cs="Tahoma"/>
      <w:sz w:val="28"/>
      <w:shd w:val="clear" w:color="auto" w:fill="000080"/>
      <w:lang w:val="uk-UA"/>
    </w:rPr>
  </w:style>
  <w:style w:type="paragraph" w:styleId="af5">
    <w:name w:val="Document Map"/>
    <w:basedOn w:val="a"/>
    <w:link w:val="af4"/>
    <w:rsid w:val="00A57442"/>
    <w:pPr>
      <w:shd w:val="clear" w:color="auto" w:fill="000080"/>
    </w:pPr>
    <w:rPr>
      <w:rFonts w:ascii="Tahoma" w:eastAsiaTheme="minorHAnsi" w:hAnsi="Tahoma" w:cs="Tahoma"/>
      <w:sz w:val="28"/>
      <w:szCs w:val="22"/>
      <w:lang w:val="uk-UA" w:eastAsia="en-US"/>
    </w:rPr>
  </w:style>
  <w:style w:type="character" w:customStyle="1" w:styleId="13">
    <w:name w:val="Схема документа Знак1"/>
    <w:basedOn w:val="a0"/>
    <w:rsid w:val="00A57442"/>
    <w:rPr>
      <w:rFonts w:ascii="Tahoma" w:eastAsia="Times New Roman" w:hAnsi="Tahoma" w:cs="Tahoma"/>
      <w:sz w:val="16"/>
      <w:szCs w:val="16"/>
      <w:lang w:eastAsia="ru-RU"/>
    </w:rPr>
  </w:style>
  <w:style w:type="character" w:customStyle="1" w:styleId="23">
    <w:name w:val="Основной текст с отступом 2 Знак"/>
    <w:link w:val="24"/>
    <w:rsid w:val="00A57442"/>
    <w:rPr>
      <w:sz w:val="28"/>
      <w:lang w:val="uk-UA" w:eastAsia="uk-UA"/>
    </w:rPr>
  </w:style>
  <w:style w:type="paragraph" w:styleId="24">
    <w:name w:val="Body Text Indent 2"/>
    <w:basedOn w:val="a"/>
    <w:link w:val="23"/>
    <w:rsid w:val="00A57442"/>
    <w:pPr>
      <w:ind w:firstLine="708"/>
      <w:jc w:val="both"/>
    </w:pPr>
    <w:rPr>
      <w:rFonts w:asciiTheme="minorHAnsi" w:eastAsiaTheme="minorHAnsi" w:hAnsiTheme="minorHAnsi" w:cstheme="minorBidi"/>
      <w:sz w:val="28"/>
      <w:szCs w:val="22"/>
      <w:lang w:val="uk-UA" w:eastAsia="uk-UA"/>
    </w:rPr>
  </w:style>
  <w:style w:type="character" w:customStyle="1" w:styleId="211">
    <w:name w:val="Основной текст с отступом 2 Знак1"/>
    <w:basedOn w:val="a0"/>
    <w:rsid w:val="00A57442"/>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rsid w:val="00A57442"/>
    <w:rPr>
      <w:bCs/>
      <w:sz w:val="28"/>
      <w:lang w:val="uk-UA"/>
    </w:rPr>
  </w:style>
  <w:style w:type="paragraph" w:styleId="32">
    <w:name w:val="Body Text Indent 3"/>
    <w:basedOn w:val="a"/>
    <w:link w:val="31"/>
    <w:rsid w:val="00A57442"/>
    <w:pPr>
      <w:ind w:firstLine="720"/>
    </w:pPr>
    <w:rPr>
      <w:rFonts w:asciiTheme="minorHAnsi" w:eastAsiaTheme="minorHAnsi" w:hAnsiTheme="minorHAnsi" w:cstheme="minorBidi"/>
      <w:bCs/>
      <w:sz w:val="28"/>
      <w:szCs w:val="22"/>
      <w:lang w:val="uk-UA" w:eastAsia="en-US"/>
    </w:rPr>
  </w:style>
  <w:style w:type="character" w:customStyle="1" w:styleId="310">
    <w:name w:val="Основной текст с отступом 3 Знак1"/>
    <w:basedOn w:val="a0"/>
    <w:rsid w:val="00A57442"/>
    <w:rPr>
      <w:rFonts w:ascii="Times New Roman" w:eastAsia="Times New Roman" w:hAnsi="Times New Roman" w:cs="Times New Roman"/>
      <w:sz w:val="16"/>
      <w:szCs w:val="16"/>
      <w:lang w:eastAsia="ru-RU"/>
    </w:rPr>
  </w:style>
  <w:style w:type="character" w:styleId="af6">
    <w:name w:val="Emphasis"/>
    <w:qFormat/>
    <w:rsid w:val="00A57442"/>
    <w:rPr>
      <w:i/>
      <w:iCs/>
    </w:rPr>
  </w:style>
  <w:style w:type="paragraph" w:customStyle="1" w:styleId="Just">
    <w:name w:val="Just"/>
    <w:rsid w:val="00A5744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A5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0"/>
    <w:link w:val="HTML"/>
    <w:uiPriority w:val="99"/>
    <w:rsid w:val="00A57442"/>
    <w:rPr>
      <w:rFonts w:ascii="Courier New" w:eastAsia="Times New Roman" w:hAnsi="Courier New" w:cs="Times New Roman"/>
      <w:color w:val="000000"/>
      <w:sz w:val="21"/>
      <w:szCs w:val="21"/>
    </w:rPr>
  </w:style>
  <w:style w:type="paragraph" w:styleId="af7">
    <w:name w:val="footnote text"/>
    <w:basedOn w:val="a"/>
    <w:link w:val="af8"/>
    <w:rsid w:val="00A57442"/>
    <w:rPr>
      <w:sz w:val="20"/>
      <w:szCs w:val="20"/>
    </w:rPr>
  </w:style>
  <w:style w:type="character" w:customStyle="1" w:styleId="af8">
    <w:name w:val="Текст сноски Знак"/>
    <w:basedOn w:val="a0"/>
    <w:link w:val="af7"/>
    <w:rsid w:val="00A57442"/>
    <w:rPr>
      <w:rFonts w:ascii="Times New Roman" w:eastAsia="Times New Roman" w:hAnsi="Times New Roman" w:cs="Times New Roman"/>
      <w:sz w:val="20"/>
      <w:szCs w:val="20"/>
      <w:lang w:eastAsia="ru-RU"/>
    </w:rPr>
  </w:style>
  <w:style w:type="character" w:styleId="af9">
    <w:name w:val="footnote reference"/>
    <w:rsid w:val="00A57442"/>
    <w:rPr>
      <w:vertAlign w:val="superscript"/>
    </w:rPr>
  </w:style>
  <w:style w:type="paragraph" w:styleId="afa">
    <w:name w:val="endnote text"/>
    <w:basedOn w:val="a"/>
    <w:link w:val="afb"/>
    <w:rsid w:val="00A57442"/>
    <w:rPr>
      <w:sz w:val="20"/>
      <w:szCs w:val="20"/>
    </w:rPr>
  </w:style>
  <w:style w:type="character" w:customStyle="1" w:styleId="afb">
    <w:name w:val="Текст концевой сноски Знак"/>
    <w:basedOn w:val="a0"/>
    <w:link w:val="afa"/>
    <w:rsid w:val="00A57442"/>
    <w:rPr>
      <w:rFonts w:ascii="Times New Roman" w:eastAsia="Times New Roman" w:hAnsi="Times New Roman" w:cs="Times New Roman"/>
      <w:sz w:val="20"/>
      <w:szCs w:val="20"/>
      <w:lang w:eastAsia="ru-RU"/>
    </w:rPr>
  </w:style>
  <w:style w:type="character" w:styleId="afc">
    <w:name w:val="endnote reference"/>
    <w:rsid w:val="00A57442"/>
    <w:rPr>
      <w:vertAlign w:val="superscript"/>
    </w:rPr>
  </w:style>
  <w:style w:type="paragraph" w:styleId="afd">
    <w:name w:val="caption"/>
    <w:basedOn w:val="a"/>
    <w:next w:val="a"/>
    <w:unhideWhenUsed/>
    <w:qFormat/>
    <w:rsid w:val="00A57442"/>
    <w:rPr>
      <w:b/>
      <w:bCs/>
      <w:sz w:val="20"/>
      <w:szCs w:val="20"/>
    </w:rPr>
  </w:style>
  <w:style w:type="table" w:styleId="afe">
    <w:name w:val="Table Grid"/>
    <w:basedOn w:val="a1"/>
    <w:uiPriority w:val="59"/>
    <w:rsid w:val="00A57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rsid w:val="00A57442"/>
    <w:rPr>
      <w:sz w:val="16"/>
      <w:szCs w:val="16"/>
    </w:rPr>
  </w:style>
  <w:style w:type="paragraph" w:styleId="aff0">
    <w:name w:val="annotation text"/>
    <w:basedOn w:val="a"/>
    <w:link w:val="aff1"/>
    <w:rsid w:val="00A57442"/>
    <w:rPr>
      <w:sz w:val="20"/>
      <w:szCs w:val="20"/>
    </w:rPr>
  </w:style>
  <w:style w:type="character" w:customStyle="1" w:styleId="aff1">
    <w:name w:val="Текст примечания Знак"/>
    <w:basedOn w:val="a0"/>
    <w:link w:val="aff0"/>
    <w:rsid w:val="00A57442"/>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A57442"/>
    <w:rPr>
      <w:b/>
      <w:bCs/>
    </w:rPr>
  </w:style>
  <w:style w:type="character" w:customStyle="1" w:styleId="aff3">
    <w:name w:val="Тема примечания Знак"/>
    <w:basedOn w:val="aff1"/>
    <w:link w:val="aff2"/>
    <w:rsid w:val="00A57442"/>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57442"/>
  </w:style>
  <w:style w:type="character" w:styleId="aff4">
    <w:name w:val="Hyperlink"/>
    <w:uiPriority w:val="99"/>
    <w:unhideWhenUsed/>
    <w:rsid w:val="00A57442"/>
    <w:rPr>
      <w:color w:val="0000FF"/>
      <w:u w:val="single"/>
    </w:rPr>
  </w:style>
  <w:style w:type="character" w:customStyle="1" w:styleId="rvts0">
    <w:name w:val="rvts0"/>
    <w:basedOn w:val="a0"/>
    <w:rsid w:val="00A57442"/>
  </w:style>
  <w:style w:type="character" w:customStyle="1" w:styleId="rvts44">
    <w:name w:val="rvts44"/>
    <w:rsid w:val="00A57442"/>
    <w:rPr>
      <w:rFonts w:cs="Times New Roman"/>
    </w:rPr>
  </w:style>
  <w:style w:type="paragraph" w:customStyle="1" w:styleId="rvps6">
    <w:name w:val="rvps6"/>
    <w:basedOn w:val="a"/>
    <w:rsid w:val="00A57442"/>
    <w:pPr>
      <w:spacing w:before="100" w:beforeAutospacing="1" w:after="100" w:afterAutospacing="1"/>
    </w:pPr>
  </w:style>
  <w:style w:type="character" w:customStyle="1" w:styleId="rvts23">
    <w:name w:val="rvts23"/>
    <w:rsid w:val="00A57442"/>
    <w:rPr>
      <w:rFonts w:cs="Times New Roman"/>
    </w:rPr>
  </w:style>
  <w:style w:type="character" w:customStyle="1" w:styleId="rvts37">
    <w:name w:val="rvts37"/>
    <w:rsid w:val="00A57442"/>
    <w:rPr>
      <w:rFonts w:cs="Times New Roman"/>
    </w:rPr>
  </w:style>
  <w:style w:type="paragraph" w:customStyle="1" w:styleId="rvps2">
    <w:name w:val="rvps2"/>
    <w:basedOn w:val="a"/>
    <w:rsid w:val="00A57442"/>
    <w:pPr>
      <w:spacing w:before="100" w:beforeAutospacing="1" w:after="100" w:afterAutospacing="1"/>
    </w:pPr>
  </w:style>
  <w:style w:type="paragraph" w:styleId="aff5">
    <w:name w:val="No Spacing"/>
    <w:uiPriority w:val="1"/>
    <w:qFormat/>
    <w:rsid w:val="00A57442"/>
    <w:pPr>
      <w:spacing w:after="0" w:line="240" w:lineRule="auto"/>
    </w:pPr>
    <w:rPr>
      <w:rFonts w:ascii="Calibri" w:eastAsia="Times New Roman" w:hAnsi="Calibri" w:cs="Times New Roman"/>
      <w:lang w:eastAsia="ru-RU"/>
    </w:rPr>
  </w:style>
  <w:style w:type="paragraph" w:customStyle="1" w:styleId="western">
    <w:name w:val="western"/>
    <w:basedOn w:val="a"/>
    <w:rsid w:val="00A57442"/>
    <w:pPr>
      <w:spacing w:before="100" w:beforeAutospacing="1" w:after="100" w:afterAutospacing="1"/>
    </w:pPr>
  </w:style>
  <w:style w:type="paragraph" w:customStyle="1" w:styleId="rvps17">
    <w:name w:val="rvps17"/>
    <w:basedOn w:val="a"/>
    <w:rsid w:val="00A57442"/>
    <w:pPr>
      <w:spacing w:before="100" w:beforeAutospacing="1" w:after="100" w:afterAutospacing="1"/>
    </w:pPr>
  </w:style>
  <w:style w:type="character" w:customStyle="1" w:styleId="rvts64">
    <w:name w:val="rvts64"/>
    <w:basedOn w:val="a0"/>
    <w:rsid w:val="00A57442"/>
  </w:style>
  <w:style w:type="paragraph" w:customStyle="1" w:styleId="rvps7">
    <w:name w:val="rvps7"/>
    <w:basedOn w:val="a"/>
    <w:rsid w:val="00A57442"/>
    <w:pPr>
      <w:spacing w:before="100" w:beforeAutospacing="1" w:after="100" w:afterAutospacing="1"/>
    </w:pPr>
  </w:style>
  <w:style w:type="character" w:customStyle="1" w:styleId="rvts9">
    <w:name w:val="rvts9"/>
    <w:basedOn w:val="a0"/>
    <w:rsid w:val="00A57442"/>
  </w:style>
  <w:style w:type="character" w:customStyle="1" w:styleId="rvts52">
    <w:name w:val="rvts52"/>
    <w:basedOn w:val="a0"/>
    <w:rsid w:val="00A57442"/>
  </w:style>
  <w:style w:type="paragraph" w:customStyle="1" w:styleId="rvps4">
    <w:name w:val="rvps4"/>
    <w:basedOn w:val="a"/>
    <w:rsid w:val="00A57442"/>
    <w:pPr>
      <w:spacing w:before="100" w:beforeAutospacing="1" w:after="100" w:afterAutospacing="1"/>
    </w:pPr>
  </w:style>
  <w:style w:type="paragraph" w:customStyle="1" w:styleId="rvps15">
    <w:name w:val="rvps15"/>
    <w:basedOn w:val="a"/>
    <w:rsid w:val="00A57442"/>
    <w:pPr>
      <w:spacing w:before="100" w:beforeAutospacing="1" w:after="100" w:afterAutospacing="1"/>
    </w:pPr>
  </w:style>
  <w:style w:type="paragraph" w:customStyle="1" w:styleId="rvps14">
    <w:name w:val="rvps14"/>
    <w:basedOn w:val="a"/>
    <w:rsid w:val="00A57442"/>
    <w:pPr>
      <w:spacing w:before="100" w:beforeAutospacing="1" w:after="100" w:afterAutospacing="1"/>
    </w:pPr>
  </w:style>
  <w:style w:type="paragraph" w:customStyle="1" w:styleId="rvps12">
    <w:name w:val="rvps12"/>
    <w:basedOn w:val="a"/>
    <w:rsid w:val="00A57442"/>
    <w:pPr>
      <w:spacing w:before="100" w:beforeAutospacing="1" w:after="100" w:afterAutospacing="1"/>
    </w:pPr>
  </w:style>
  <w:style w:type="character" w:customStyle="1" w:styleId="rvts78">
    <w:name w:val="rvts78"/>
    <w:basedOn w:val="a0"/>
    <w:rsid w:val="00A57442"/>
  </w:style>
  <w:style w:type="paragraph" w:customStyle="1" w:styleId="rvps18">
    <w:name w:val="rvps18"/>
    <w:basedOn w:val="a"/>
    <w:rsid w:val="00A57442"/>
    <w:pPr>
      <w:spacing w:before="100" w:beforeAutospacing="1" w:after="100" w:afterAutospacing="1"/>
    </w:pPr>
  </w:style>
  <w:style w:type="character" w:customStyle="1" w:styleId="rvts11">
    <w:name w:val="rvts11"/>
    <w:basedOn w:val="a0"/>
    <w:rsid w:val="00A57442"/>
  </w:style>
  <w:style w:type="paragraph" w:customStyle="1" w:styleId="rvps1">
    <w:name w:val="rvps1"/>
    <w:basedOn w:val="a"/>
    <w:rsid w:val="00A57442"/>
    <w:pPr>
      <w:spacing w:before="100" w:beforeAutospacing="1" w:after="100" w:afterAutospacing="1"/>
    </w:pPr>
  </w:style>
  <w:style w:type="character" w:customStyle="1" w:styleId="rvts15">
    <w:name w:val="rvts15"/>
    <w:basedOn w:val="a0"/>
    <w:rsid w:val="00A57442"/>
  </w:style>
  <w:style w:type="paragraph" w:customStyle="1" w:styleId="rvps11">
    <w:name w:val="rvps11"/>
    <w:basedOn w:val="a"/>
    <w:rsid w:val="00A57442"/>
    <w:pPr>
      <w:spacing w:before="100" w:beforeAutospacing="1" w:after="100" w:afterAutospacing="1"/>
    </w:pPr>
  </w:style>
  <w:style w:type="paragraph" w:customStyle="1" w:styleId="with-bukvica">
    <w:name w:val="with-bukvica"/>
    <w:basedOn w:val="a"/>
    <w:rsid w:val="00A57442"/>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35997393">
      <w:bodyDiv w:val="1"/>
      <w:marLeft w:val="0"/>
      <w:marRight w:val="0"/>
      <w:marTop w:val="0"/>
      <w:marBottom w:val="0"/>
      <w:divBdr>
        <w:top w:val="none" w:sz="0" w:space="0" w:color="auto"/>
        <w:left w:val="none" w:sz="0" w:space="0" w:color="auto"/>
        <w:bottom w:val="none" w:sz="0" w:space="0" w:color="auto"/>
        <w:right w:val="none" w:sz="0" w:space="0" w:color="auto"/>
      </w:divBdr>
    </w:div>
    <w:div w:id="1124540542">
      <w:bodyDiv w:val="1"/>
      <w:marLeft w:val="0"/>
      <w:marRight w:val="0"/>
      <w:marTop w:val="0"/>
      <w:marBottom w:val="0"/>
      <w:divBdr>
        <w:top w:val="none" w:sz="0" w:space="0" w:color="auto"/>
        <w:left w:val="none" w:sz="0" w:space="0" w:color="auto"/>
        <w:bottom w:val="none" w:sz="0" w:space="0" w:color="auto"/>
        <w:right w:val="none" w:sz="0" w:space="0" w:color="auto"/>
      </w:divBdr>
    </w:div>
    <w:div w:id="1168134385">
      <w:bodyDiv w:val="1"/>
      <w:marLeft w:val="0"/>
      <w:marRight w:val="0"/>
      <w:marTop w:val="0"/>
      <w:marBottom w:val="0"/>
      <w:divBdr>
        <w:top w:val="none" w:sz="0" w:space="0" w:color="auto"/>
        <w:left w:val="none" w:sz="0" w:space="0" w:color="auto"/>
        <w:bottom w:val="none" w:sz="0" w:space="0" w:color="auto"/>
        <w:right w:val="none" w:sz="0" w:space="0" w:color="auto"/>
      </w:divBdr>
    </w:div>
    <w:div w:id="14900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E%D1%81%D1%8C%D0%BC%D0%B8%D0%B9_%D0%B0%D0%BF%D0%B5%D0%BB%D1%8F%D1%86%D1%96%D0%B9%D0%BD%D0%B8%D0%B9_%D0%B0%D0%B4%D0%BC%D1%96%D0%BD%D1%96%D1%81%D1%82%D1%80%D0%B0%D1%82%D0%B8%D0%B2%D0%BD%D0%B8%D0%B9_%D1%81%D1%83%D0%B4" TargetMode="Externa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1084;&#1086;&#1080;%20&#1076;&#1086;&#1082;&#1091;&#1084;&#1077;&#1085;&#1090;&#1080;\&#1056;&#1077;&#1108;&#1089;&#1090;&#1088;,&#1079;&#1074;&#1110;&#1090;&#1080;\&#1059;&#1079;&#1072;&#1075;,&#1089;&#1090;&#1072;&#1090;&#1086;&#1075;&#1083;&#1103;&#1076;&#1080;\&#1057;&#1090;&#1072;&#1090;.&#1091;&#1079;&#1072;&#1075;.2016\&#1052;&#1072;&#1090;&#1077;&#1088;&#1110;&#1072;&#1083;&#1080;%20&#1076;&#1086;%20&#1072;&#1085;&#1072;&#1083;&#1110;&#1079;&#1091;%20&#1087;&#1088;&#1072;&#1074;&#1086;&#1089;&#1091;&#1076;&#1076;&#1103;%202016\&#1076;&#1110;&#1072;&#1075;&#1088;&#1072;&#1084;&#1072;%202%20&#1076;&#1086;%20&#1089;&#1090;&#1072;&#1090;.&#1091;&#1079;&#1072;&#1075;%202016.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475753931334951"/>
          <c:y val="0.26804417653832324"/>
          <c:w val="0.84321686351706038"/>
          <c:h val="0.44143667882222692"/>
        </c:manualLayout>
      </c:layout>
      <c:barChart>
        <c:barDir val="col"/>
        <c:grouping val="clustered"/>
        <c:ser>
          <c:idx val="0"/>
          <c:order val="0"/>
          <c:tx>
            <c:strRef>
              <c:f>Лист1!$B$1</c:f>
              <c:strCache>
                <c:ptCount val="1"/>
                <c:pt idx="0">
                  <c:v>надійшло</c:v>
                </c:pt>
              </c:strCache>
            </c:strRef>
          </c:tx>
          <c:spPr>
            <a:solidFill>
              <a:schemeClr val="accent1">
                <a:lumMod val="40000"/>
                <a:lumOff val="60000"/>
              </a:schemeClr>
            </a:solidFill>
          </c:spPr>
          <c:dLbls>
            <c:spPr>
              <a:noFill/>
              <a:ln>
                <a:noFill/>
              </a:ln>
              <a:effectLst/>
            </c:spPr>
            <c:txPr>
              <a:bodyPr rot="-5400000" vert="horz"/>
              <a:lstStyle/>
              <a:p>
                <a:pPr>
                  <a:defRPr lang="uk-UA"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2007 рік</c:v>
                </c:pt>
                <c:pt idx="1">
                  <c:v>2008 рік</c:v>
                </c:pt>
                <c:pt idx="2">
                  <c:v>2009 рік</c:v>
                </c:pt>
                <c:pt idx="3">
                  <c:v>2010 рік</c:v>
                </c:pt>
                <c:pt idx="4">
                  <c:v>2011 рік</c:v>
                </c:pt>
                <c:pt idx="5">
                  <c:v>2012 рік</c:v>
                </c:pt>
                <c:pt idx="6">
                  <c:v>2013 рік</c:v>
                </c:pt>
                <c:pt idx="7">
                  <c:v>2014 рік</c:v>
                </c:pt>
                <c:pt idx="8">
                  <c:v>2015 рік</c:v>
                </c:pt>
                <c:pt idx="9">
                  <c:v>2016 рік</c:v>
                </c:pt>
                <c:pt idx="10">
                  <c:v>2017 рік</c:v>
                </c:pt>
                <c:pt idx="11">
                  <c:v>2018 рік</c:v>
                </c:pt>
              </c:strCache>
            </c:strRef>
          </c:cat>
          <c:val>
            <c:numRef>
              <c:f>Лист1!$B$2:$B$13</c:f>
              <c:numCache>
                <c:formatCode>General</c:formatCode>
                <c:ptCount val="12"/>
                <c:pt idx="0">
                  <c:v>7188</c:v>
                </c:pt>
                <c:pt idx="1">
                  <c:v>15972</c:v>
                </c:pt>
                <c:pt idx="2">
                  <c:v>93577</c:v>
                </c:pt>
                <c:pt idx="3">
                  <c:v>38028</c:v>
                </c:pt>
                <c:pt idx="4">
                  <c:v>152709</c:v>
                </c:pt>
                <c:pt idx="5">
                  <c:v>183765</c:v>
                </c:pt>
                <c:pt idx="6">
                  <c:v>16038</c:v>
                </c:pt>
                <c:pt idx="7">
                  <c:v>12045</c:v>
                </c:pt>
                <c:pt idx="8">
                  <c:v>12515</c:v>
                </c:pt>
                <c:pt idx="9">
                  <c:v>10667</c:v>
                </c:pt>
                <c:pt idx="10">
                  <c:v>12774</c:v>
                </c:pt>
                <c:pt idx="11">
                  <c:v>7481</c:v>
                </c:pt>
              </c:numCache>
            </c:numRef>
          </c:val>
          <c:extLst xmlns:c16r2="http://schemas.microsoft.com/office/drawing/2015/06/chart">
            <c:ext xmlns:c16="http://schemas.microsoft.com/office/drawing/2014/chart" uri="{C3380CC4-5D6E-409C-BE32-E72D297353CC}">
              <c16:uniqueId val="{00000000-4CA8-4840-A16C-976F31A75747}"/>
            </c:ext>
          </c:extLst>
        </c:ser>
        <c:ser>
          <c:idx val="1"/>
          <c:order val="1"/>
          <c:tx>
            <c:strRef>
              <c:f>Лист1!$C$1</c:f>
              <c:strCache>
                <c:ptCount val="1"/>
                <c:pt idx="0">
                  <c:v>перебувало</c:v>
                </c:pt>
              </c:strCache>
            </c:strRef>
          </c:tx>
          <c:spPr>
            <a:solidFill>
              <a:srgbClr val="F9B4A1"/>
            </a:solidFill>
          </c:spPr>
          <c:dLbls>
            <c:spPr>
              <a:effectLst>
                <a:outerShdw blurRad="152400" dist="317500" dir="5400000" sx="90000" sy="-19000" rotWithShape="0">
                  <a:prstClr val="black">
                    <a:alpha val="15000"/>
                  </a:prstClr>
                </a:outerShdw>
              </a:effectLst>
            </c:spPr>
            <c:txPr>
              <a:bodyPr rot="-5400000" vert="horz"/>
              <a:lstStyle/>
              <a:p>
                <a:pPr>
                  <a:defRPr lang="uk-UA"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2007 рік</c:v>
                </c:pt>
                <c:pt idx="1">
                  <c:v>2008 рік</c:v>
                </c:pt>
                <c:pt idx="2">
                  <c:v>2009 рік</c:v>
                </c:pt>
                <c:pt idx="3">
                  <c:v>2010 рік</c:v>
                </c:pt>
                <c:pt idx="4">
                  <c:v>2011 рік</c:v>
                </c:pt>
                <c:pt idx="5">
                  <c:v>2012 рік</c:v>
                </c:pt>
                <c:pt idx="6">
                  <c:v>2013 рік</c:v>
                </c:pt>
                <c:pt idx="7">
                  <c:v>2014 рік</c:v>
                </c:pt>
                <c:pt idx="8">
                  <c:v>2015 рік</c:v>
                </c:pt>
                <c:pt idx="9">
                  <c:v>2016 рік</c:v>
                </c:pt>
                <c:pt idx="10">
                  <c:v>2017 рік</c:v>
                </c:pt>
                <c:pt idx="11">
                  <c:v>2018 рік</c:v>
                </c:pt>
              </c:strCache>
            </c:strRef>
          </c:cat>
          <c:val>
            <c:numRef>
              <c:f>Лист1!$C$2:$C$13</c:f>
              <c:numCache>
                <c:formatCode>General</c:formatCode>
                <c:ptCount val="12"/>
                <c:pt idx="0">
                  <c:v>7188</c:v>
                </c:pt>
                <c:pt idx="1">
                  <c:v>19588</c:v>
                </c:pt>
                <c:pt idx="2">
                  <c:v>103779</c:v>
                </c:pt>
                <c:pt idx="3">
                  <c:v>121542</c:v>
                </c:pt>
                <c:pt idx="4">
                  <c:v>222162</c:v>
                </c:pt>
                <c:pt idx="5">
                  <c:v>325743</c:v>
                </c:pt>
                <c:pt idx="6">
                  <c:v>203764</c:v>
                </c:pt>
                <c:pt idx="7">
                  <c:v>63384</c:v>
                </c:pt>
                <c:pt idx="8">
                  <c:v>22665</c:v>
                </c:pt>
                <c:pt idx="9">
                  <c:v>14584</c:v>
                </c:pt>
                <c:pt idx="10">
                  <c:v>14983</c:v>
                </c:pt>
                <c:pt idx="11">
                  <c:v>9188</c:v>
                </c:pt>
              </c:numCache>
            </c:numRef>
          </c:val>
          <c:extLst xmlns:c16r2="http://schemas.microsoft.com/office/drawing/2015/06/chart">
            <c:ext xmlns:c16="http://schemas.microsoft.com/office/drawing/2014/chart" uri="{C3380CC4-5D6E-409C-BE32-E72D297353CC}">
              <c16:uniqueId val="{00000001-4CA8-4840-A16C-976F31A75747}"/>
            </c:ext>
          </c:extLst>
        </c:ser>
        <c:axId val="120375168"/>
        <c:axId val="120376704"/>
      </c:barChart>
      <c:catAx>
        <c:axId val="120375168"/>
        <c:scaling>
          <c:orientation val="minMax"/>
        </c:scaling>
        <c:axPos val="b"/>
        <c:numFmt formatCode="General" sourceLinked="0"/>
        <c:tickLblPos val="nextTo"/>
        <c:txPr>
          <a:bodyPr/>
          <a:lstStyle/>
          <a:p>
            <a:pPr>
              <a:defRPr lang="uk-UA"/>
            </a:pPr>
            <a:endParaRPr lang="ru-RU"/>
          </a:p>
        </c:txPr>
        <c:crossAx val="120376704"/>
        <c:crosses val="autoZero"/>
        <c:auto val="1"/>
        <c:lblAlgn val="ctr"/>
        <c:lblOffset val="100"/>
      </c:catAx>
      <c:valAx>
        <c:axId val="120376704"/>
        <c:scaling>
          <c:orientation val="minMax"/>
        </c:scaling>
        <c:axPos val="l"/>
        <c:majorGridlines/>
        <c:numFmt formatCode="General" sourceLinked="1"/>
        <c:tickLblPos val="nextTo"/>
        <c:txPr>
          <a:bodyPr/>
          <a:lstStyle/>
          <a:p>
            <a:pPr>
              <a:defRPr lang="uk-UA"/>
            </a:pPr>
            <a:endParaRPr lang="ru-RU"/>
          </a:p>
        </c:txPr>
        <c:crossAx val="120375168"/>
        <c:crosses val="autoZero"/>
        <c:crossBetween val="between"/>
      </c:valAx>
      <c:spPr>
        <a:effectLst>
          <a:outerShdw blurRad="50800" dist="50800" dir="5400000" sx="1000" sy="1000" algn="ctr" rotWithShape="0">
            <a:srgbClr val="000000"/>
          </a:outerShdw>
        </a:effectLst>
      </c:spPr>
    </c:plotArea>
    <c:legend>
      <c:legendPos val="b"/>
      <c:layout>
        <c:manualLayout>
          <c:xMode val="edge"/>
          <c:yMode val="edge"/>
          <c:x val="2.3609188620874948E-2"/>
          <c:y val="0.86883701484217191"/>
          <c:w val="0.34759415159560436"/>
          <c:h val="0.11710310547464763"/>
        </c:manualLayout>
      </c:layout>
      <c:overlay val="1"/>
      <c:txPr>
        <a:bodyPr/>
        <a:lstStyle/>
        <a:p>
          <a:pPr>
            <a:defRPr lang="uk-UA"/>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400"/>
            </a:pPr>
            <a:r>
              <a:rPr lang="uk-UA" sz="1400"/>
              <a:t>Структура залишку справ та матеріалів</a:t>
            </a:r>
          </a:p>
          <a:p>
            <a:pPr>
              <a:defRPr lang="uk-UA" sz="1400"/>
            </a:pPr>
            <a:r>
              <a:rPr lang="uk-UA" sz="1400"/>
              <a:t> у</a:t>
            </a:r>
            <a:r>
              <a:rPr lang="uk-UA" sz="1400" baseline="0"/>
              <a:t> процентному відношенні </a:t>
            </a:r>
            <a:endParaRPr lang="ru-RU" sz="1400"/>
          </a:p>
          <a:p>
            <a:pPr>
              <a:defRPr lang="uk-UA" sz="1400"/>
            </a:pPr>
            <a:r>
              <a:rPr lang="uk-UA" sz="1400"/>
              <a:t>станом на кінець звітного періоду </a:t>
            </a:r>
            <a:endParaRPr lang="ru-RU" sz="1400"/>
          </a:p>
          <a:p>
            <a:pPr>
              <a:defRPr lang="uk-UA" sz="1400"/>
            </a:pPr>
            <a:r>
              <a:rPr lang="uk-UA" sz="1400"/>
              <a:t>в розрізі розділів</a:t>
            </a:r>
          </a:p>
          <a:p>
            <a:pPr>
              <a:defRPr lang="uk-UA" sz="1400"/>
            </a:pPr>
            <a:r>
              <a:rPr lang="uk-UA" sz="1400"/>
              <a:t> Класифікатора категорій адміністративних справ</a:t>
            </a:r>
            <a:endParaRPr lang="ru-RU" sz="1400"/>
          </a:p>
          <a:p>
            <a:pPr>
              <a:defRPr lang="uk-UA" sz="1400"/>
            </a:pPr>
            <a:r>
              <a:rPr lang="ru-RU" sz="1400"/>
              <a:t>у Львівському апеляційному адміністративному суді</a:t>
            </a:r>
          </a:p>
        </c:rich>
      </c:tx>
      <c:layout>
        <c:manualLayout>
          <c:xMode val="edge"/>
          <c:yMode val="edge"/>
          <c:x val="0.15089296080980541"/>
          <c:y val="7.7669902912621477E-3"/>
        </c:manualLayout>
      </c:layout>
    </c:title>
    <c:view3D>
      <c:rotX val="30"/>
      <c:perspective val="30"/>
    </c:view3D>
    <c:plotArea>
      <c:layout>
        <c:manualLayout>
          <c:layoutTarget val="inner"/>
          <c:xMode val="edge"/>
          <c:yMode val="edge"/>
          <c:x val="0.26990359849878576"/>
          <c:y val="0.14182911602069159"/>
          <c:w val="0.47680754858913665"/>
          <c:h val="0.29719460795555946"/>
        </c:manualLayout>
      </c:layout>
      <c:pie3DChart>
        <c:varyColors val="1"/>
        <c:ser>
          <c:idx val="0"/>
          <c:order val="0"/>
          <c:tx>
            <c:strRef>
              <c:f>Лист1!$B$1</c:f>
              <c:strCache>
                <c:ptCount val="1"/>
                <c:pt idx="0">
                  <c:v>Продажи</c:v>
                </c:pt>
              </c:strCache>
            </c:strRef>
          </c:tx>
          <c:explosion val="2"/>
          <c:dPt>
            <c:idx val="6"/>
            <c:explosion val="7"/>
            <c:extLst xmlns:c16r2="http://schemas.microsoft.com/office/drawing/2015/06/chart">
              <c:ext xmlns:c16="http://schemas.microsoft.com/office/drawing/2014/chart" uri="{C3380CC4-5D6E-409C-BE32-E72D297353CC}">
                <c16:uniqueId val="{00000000-72AF-4CD5-AA6E-4AC07E05643E}"/>
              </c:ext>
            </c:extLst>
          </c:dPt>
          <c:dLbls>
            <c:numFmt formatCode="0.00%" sourceLinked="0"/>
            <c:spPr>
              <a:noFill/>
              <a:ln>
                <a:noFill/>
              </a:ln>
              <a:effectLst/>
            </c:spPr>
            <c:txPr>
              <a:bodyPr/>
              <a:lstStyle/>
              <a:p>
                <a:pPr>
                  <a:defRPr lang="uk-UA"/>
                </a:pPr>
                <a:endParaRPr lang="ru-RU"/>
              </a:p>
            </c:txPr>
            <c:showPercent val="1"/>
            <c:showLeaderLines val="1"/>
            <c:extLst xmlns:c16r2="http://schemas.microsoft.com/office/drawing/2015/06/chart">
              <c:ext xmlns:c15="http://schemas.microsoft.com/office/drawing/2012/chart" uri="{CE6537A1-D6FC-4f65-9D91-7224C49458BB}"/>
            </c:extLst>
          </c:dLbls>
          <c:cat>
            <c:strRef>
              <c:f>Лист1!$A$2:$A$12</c:f>
              <c:strCache>
                <c:ptCount val="11"/>
                <c:pt idx="0">
                  <c:v>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(Розділ 2) -</c:v>
                </c:pt>
                <c:pt idx="1">
                  <c:v>Справи зі спорів з приводу забезпечення громадського порядку та безпеки, національної безпеки та оборони України (Розділ 3) </c:v>
                </c:pt>
                <c:pt idx="2">
                  <c:v>Справи зі спорів з приводу реалізації державної політики у сфері освіти, науки, культури та спорту (Розділ 4)</c:v>
                </c:pt>
                <c:pt idx="3">
                  <c:v>Справи зі спорів з приводу реалізації державної політики у сфері економіки (Розділ 5)</c:v>
                </c:pt>
                <c:pt idx="4">
                  <c:v>Справи зі спорів з приводу забезпечення сталого розвитку населених пунктів та землекористування (Розділ 6) </c:v>
                </c:pt>
                <c:pt idx="5">
                  <c:v>Справи зі спорів з приводу охорони навколишнього природного середовища (Розділ 7) </c:v>
                </c:pt>
                <c:pt idx="6">
                  <c:v>Справи зі спорів з приводу адміністрування податків, зборів, платежів, а також контролю за дотриманням вимог податкового законодавства (Розділ 8) </c:v>
                </c:pt>
                <c:pt idx="7">
                  <c:v>Справи зі спорів з приводу реалізації публічної фінансової політики (Розділ 9) </c:v>
                </c:pt>
                <c:pt idx="8">
                  <c:v>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(Розділ 10)</c:v>
                </c:pt>
                <c:pt idx="9">
                  <c:v>Справи зі спорів з приводу забезпечення юстиції (Розділ 11) </c:v>
                </c:pt>
                <c:pt idx="10">
                  <c:v>Справи зі спорів з відносин публічної служби (Розділ 12) </c:v>
                </c:pt>
              </c:strCache>
            </c:strRef>
          </c:cat>
          <c:val>
            <c:numRef>
              <c:f>Лист1!$B$2:$B$12</c:f>
              <c:numCache>
                <c:formatCode>General</c:formatCode>
                <c:ptCount val="11"/>
                <c:pt idx="0">
                  <c:v>87</c:v>
                </c:pt>
                <c:pt idx="1">
                  <c:v>93</c:v>
                </c:pt>
                <c:pt idx="2">
                  <c:v>8</c:v>
                </c:pt>
                <c:pt idx="3">
                  <c:v>96</c:v>
                </c:pt>
                <c:pt idx="4">
                  <c:v>143</c:v>
                </c:pt>
                <c:pt idx="5">
                  <c:v>1</c:v>
                </c:pt>
                <c:pt idx="6">
                  <c:v>315</c:v>
                </c:pt>
                <c:pt idx="7">
                  <c:v>23</c:v>
                </c:pt>
                <c:pt idx="8">
                  <c:v>366</c:v>
                </c:pt>
                <c:pt idx="9">
                  <c:v>92</c:v>
                </c:pt>
                <c:pt idx="10">
                  <c:v>86</c:v>
                </c:pt>
              </c:numCache>
            </c:numRef>
          </c:val>
          <c:extLst xmlns:c16r2="http://schemas.microsoft.com/office/drawing/2015/06/chart">
            <c:ext xmlns:c16="http://schemas.microsoft.com/office/drawing/2014/chart" uri="{C3380CC4-5D6E-409C-BE32-E72D297353CC}">
              <c16:uniqueId val="{00000001-72AF-4CD5-AA6E-4AC07E05643E}"/>
            </c:ext>
          </c:extLst>
        </c:ser>
        <c:ser>
          <c:idx val="1"/>
          <c:order val="1"/>
          <c:tx>
            <c:strRef>
              <c:f>Лист1!$C$1</c:f>
              <c:strCache>
                <c:ptCount val="1"/>
                <c:pt idx="0">
                  <c:v>Столбец1</c:v>
                </c:pt>
              </c:strCache>
            </c:strRef>
          </c:tx>
          <c:explosion val="25"/>
          <c:dLbls>
            <c:spPr>
              <a:noFill/>
              <a:ln>
                <a:noFill/>
              </a:ln>
              <a:effectLst/>
            </c:spPr>
            <c:txPr>
              <a:bodyPr/>
              <a:lstStyle/>
              <a:p>
                <a:pPr>
                  <a:defRPr lang="uk-UA"/>
                </a:pPr>
                <a:endParaRPr lang="ru-RU"/>
              </a:p>
            </c:txPr>
            <c:showPercent val="1"/>
            <c:showLeaderLines val="1"/>
            <c:extLst xmlns:c16r2="http://schemas.microsoft.com/office/drawing/2015/06/chart">
              <c:ext xmlns:c15="http://schemas.microsoft.com/office/drawing/2012/chart" uri="{CE6537A1-D6FC-4f65-9D91-7224C49458BB}"/>
            </c:extLst>
          </c:dLbls>
          <c:cat>
            <c:strRef>
              <c:f>Лист1!$A$2:$A$12</c:f>
              <c:strCache>
                <c:ptCount val="11"/>
                <c:pt idx="0">
                  <c:v>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(Розділ 2) -</c:v>
                </c:pt>
                <c:pt idx="1">
                  <c:v>Справи зі спорів з приводу забезпечення громадського порядку та безпеки, національної безпеки та оборони України (Розділ 3) </c:v>
                </c:pt>
                <c:pt idx="2">
                  <c:v>Справи зі спорів з приводу реалізації державної політики у сфері освіти, науки, культури та спорту (Розділ 4)</c:v>
                </c:pt>
                <c:pt idx="3">
                  <c:v>Справи зі спорів з приводу реалізації державної політики у сфері економіки (Розділ 5)</c:v>
                </c:pt>
                <c:pt idx="4">
                  <c:v>Справи зі спорів з приводу забезпечення сталого розвитку населених пунктів та землекористування (Розділ 6) </c:v>
                </c:pt>
                <c:pt idx="5">
                  <c:v>Справи зі спорів з приводу охорони навколишнього природного середовища (Розділ 7) </c:v>
                </c:pt>
                <c:pt idx="6">
                  <c:v>Справи зі спорів з приводу адміністрування податків, зборів, платежів, а також контролю за дотриманням вимог податкового законодавства (Розділ 8) </c:v>
                </c:pt>
                <c:pt idx="7">
                  <c:v>Справи зі спорів з приводу реалізації публічної фінансової політики (Розділ 9) </c:v>
                </c:pt>
                <c:pt idx="8">
                  <c:v>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(Розділ 10)</c:v>
                </c:pt>
                <c:pt idx="9">
                  <c:v>Справи зі спорів з приводу забезпечення юстиції (Розділ 11) </c:v>
                </c:pt>
                <c:pt idx="10">
                  <c:v>Справи зі спорів з відносин публічної служби (Розділ 12) </c:v>
                </c:pt>
              </c:strCache>
            </c:strRef>
          </c:cat>
          <c:val>
            <c:numRef>
              <c:f>Лист1!$C$2:$C$12</c:f>
              <c:numCache>
                <c:formatCode>General</c:formatCode>
                <c:ptCount val="11"/>
                <c:pt idx="0" formatCode="0.00%">
                  <c:v>87</c:v>
                </c:pt>
                <c:pt idx="1">
                  <c:v>93</c:v>
                </c:pt>
                <c:pt idx="2">
                  <c:v>8</c:v>
                </c:pt>
                <c:pt idx="3">
                  <c:v>96</c:v>
                </c:pt>
                <c:pt idx="4">
                  <c:v>143</c:v>
                </c:pt>
                <c:pt idx="5">
                  <c:v>1</c:v>
                </c:pt>
                <c:pt idx="6">
                  <c:v>315</c:v>
                </c:pt>
                <c:pt idx="7">
                  <c:v>23</c:v>
                </c:pt>
                <c:pt idx="8">
                  <c:v>366</c:v>
                </c:pt>
                <c:pt idx="9">
                  <c:v>92</c:v>
                </c:pt>
                <c:pt idx="10">
                  <c:v>86</c:v>
                </c:pt>
              </c:numCache>
            </c:numRef>
          </c:val>
          <c:extLst xmlns:c16r2="http://schemas.microsoft.com/office/drawing/2015/06/chart">
            <c:ext xmlns:c16="http://schemas.microsoft.com/office/drawing/2014/chart" uri="{C3380CC4-5D6E-409C-BE32-E72D297353CC}">
              <c16:uniqueId val="{00000002-72AF-4CD5-AA6E-4AC07E05643E}"/>
            </c:ext>
          </c:extLst>
        </c:ser>
        <c:dLbls>
          <c:showPercent val="1"/>
        </c:dLbls>
      </c:pie3DChart>
    </c:plotArea>
    <c:legend>
      <c:legendPos val="b"/>
      <c:layout>
        <c:manualLayout>
          <c:xMode val="edge"/>
          <c:yMode val="edge"/>
          <c:x val="5.3655652856477054E-2"/>
          <c:y val="0.41069102769920751"/>
          <c:w val="0.89268853075608534"/>
          <c:h val="0.58154198200953033"/>
        </c:manualLayout>
      </c:layout>
      <c:txPr>
        <a:bodyPr/>
        <a:lstStyle/>
        <a:p>
          <a:pPr>
            <a:defRPr lang="uk-UA"/>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view3D>
      <c:rotX val="30"/>
      <c:perspective val="30"/>
    </c:view3D>
    <c:plotArea>
      <c:layout>
        <c:manualLayout>
          <c:layoutTarget val="inner"/>
          <c:xMode val="edge"/>
          <c:yMode val="edge"/>
          <c:x val="7.9521493146690186E-2"/>
          <c:y val="0.34836107511877573"/>
          <c:w val="0.68176369258190583"/>
          <c:h val="0.64617759413736653"/>
        </c:manualLayout>
      </c:layout>
      <c:pie3DChart>
        <c:varyColors val="1"/>
        <c:ser>
          <c:idx val="0"/>
          <c:order val="0"/>
          <c:explosion val="25"/>
          <c:dLbls>
            <c:dLbl>
              <c:idx val="0"/>
              <c:tx>
                <c:rich>
                  <a:bodyPr/>
                  <a:lstStyle/>
                  <a:p>
                    <a:pPr>
                      <a:defRPr lang="uk-UA"/>
                    </a:pPr>
                    <a:r>
                      <a:rPr lang="uk-UA"/>
                      <a:t>Розглянуто 7886</a:t>
                    </a:r>
                    <a:r>
                      <a:rPr lang="uk-UA" baseline="0"/>
                      <a:t> </a:t>
                    </a:r>
                    <a:r>
                      <a:rPr lang="uk-UA"/>
                      <a:t>або
85,8%</a:t>
                    </a:r>
                  </a:p>
                </c:rich>
              </c:tx>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677-46F2-B5F4-16574912DBFE}"/>
                </c:ext>
              </c:extLst>
            </c:dLbl>
            <c:dLbl>
              <c:idx val="1"/>
              <c:layout>
                <c:manualLayout>
                  <c:x val="4.6702205702548134E-2"/>
                  <c:y val="-6.2309538040418782E-3"/>
                </c:manualLayout>
              </c:layout>
              <c:tx>
                <c:rich>
                  <a:bodyPr/>
                  <a:lstStyle/>
                  <a:p>
                    <a:pPr>
                      <a:defRPr lang="uk-UA"/>
                    </a:pPr>
                    <a:r>
                      <a:rPr lang="uk-UA"/>
                      <a:t>Залишок</a:t>
                    </a:r>
                  </a:p>
                  <a:p>
                    <a:pPr>
                      <a:defRPr lang="uk-UA"/>
                    </a:pPr>
                    <a:r>
                      <a:rPr lang="uk-UA"/>
                      <a:t>1302</a:t>
                    </a:r>
                    <a:r>
                      <a:rPr lang="uk-UA" baseline="0"/>
                      <a:t> </a:t>
                    </a:r>
                    <a:r>
                      <a:rPr lang="uk-UA"/>
                      <a:t>або
14,1%</a:t>
                    </a:r>
                  </a:p>
                </c:rich>
              </c:tx>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677-46F2-B5F4-16574912DBFE}"/>
                </c:ext>
              </c:extLst>
            </c:dLbl>
            <c:spPr>
              <a:noFill/>
              <a:ln>
                <a:noFill/>
              </a:ln>
              <a:effectLst/>
            </c:spPr>
            <c:txPr>
              <a:bodyPr/>
              <a:lstStyle/>
              <a:p>
                <a:pPr>
                  <a:defRPr lang="uk-UA"/>
                </a:pPr>
                <a:endParaRPr lang="ru-RU"/>
              </a:p>
            </c:txPr>
            <c:showCatName val="1"/>
            <c:showPercent val="1"/>
            <c:showLeaderLines val="1"/>
            <c:extLst xmlns:c16r2="http://schemas.microsoft.com/office/drawing/2015/06/chart">
              <c:ext xmlns:c15="http://schemas.microsoft.com/office/drawing/2012/chart" uri="{CE6537A1-D6FC-4f65-9D91-7224C49458BB}"/>
            </c:extLst>
          </c:dLbls>
          <c:val>
            <c:numRef>
              <c:f>діагр2а!$R$6:$R$7</c:f>
              <c:numCache>
                <c:formatCode>General</c:formatCode>
                <c:ptCount val="2"/>
                <c:pt idx="0">
                  <c:v>12339</c:v>
                </c:pt>
                <c:pt idx="1">
                  <c:v>2202</c:v>
                </c:pt>
              </c:numCache>
            </c:numRef>
          </c:val>
          <c:extLst xmlns:c16r2="http://schemas.microsoft.com/office/drawing/2015/06/chart">
            <c:ext xmlns:c16="http://schemas.microsoft.com/office/drawing/2014/chart" uri="{C3380CC4-5D6E-409C-BE32-E72D297353CC}">
              <c16:uniqueId val="{00000002-A677-46F2-B5F4-16574912DBFE}"/>
            </c:ext>
          </c:extLst>
        </c:ser>
        <c:dLbls>
          <c:showCatName val="1"/>
          <c:showPercent val="1"/>
        </c:dLbls>
      </c:pie3DChart>
      <c:spPr>
        <a:noFill/>
        <a:ln w="25400">
          <a:noFill/>
        </a:ln>
      </c:spPr>
    </c:plotArea>
    <c:plotVisOnly val="1"/>
    <c:dispBlanksAs val="zero"/>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754601226994432E-2"/>
          <c:y val="0.34493670886076122"/>
          <c:w val="0.45705521472392624"/>
          <c:h val="0.47151898734177528"/>
        </c:manualLayout>
      </c:layout>
      <c:pieChart>
        <c:varyColors val="1"/>
        <c:ser>
          <c:idx val="0"/>
          <c:order val="0"/>
          <c:tx>
            <c:strRef>
              <c:f>Sheet1!$B$1</c:f>
              <c:strCache>
                <c:ptCount val="1"/>
                <c:pt idx="0">
                  <c:v>2018</c:v>
                </c:pt>
              </c:strCache>
            </c:strRef>
          </c:tx>
          <c:dLbls>
            <c:dLbl>
              <c:idx val="0"/>
              <c:layout>
                <c:manualLayout>
                  <c:x val="-8.5520629921260402E-2"/>
                  <c:y val="1.6570858090591441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28-4ECB-B8F2-C99258CD1007}"/>
                </c:ext>
              </c:extLst>
            </c:dLbl>
            <c:dLbl>
              <c:idx val="1"/>
              <c:tx>
                <c:rich>
                  <a:bodyPr/>
                  <a:lstStyle/>
                  <a:p>
                    <a:r>
                      <a:rPr lang="en-US"/>
                      <a:t>89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C28-4ECB-B8F2-C99258CD1007}"/>
                </c:ext>
              </c:extLst>
            </c:dLbl>
            <c:dLbl>
              <c:idx val="2"/>
              <c:tx>
                <c:rich>
                  <a:bodyPr/>
                  <a:lstStyle/>
                  <a:p>
                    <a:r>
                      <a:rPr lang="en-US"/>
                      <a:t>1750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C28-4ECB-B8F2-C99258CD1007}"/>
                </c:ext>
              </c:extLst>
            </c:dLbl>
            <c:dLbl>
              <c:idx val="5"/>
              <c:layout>
                <c:manualLayout>
                  <c:x val="-0.13112786115410788"/>
                  <c:y val="-0.10083074478075572"/>
                </c:manualLayout>
              </c:layout>
              <c:tx>
                <c:rich>
                  <a:bodyPr/>
                  <a:lstStyle/>
                  <a:p>
                    <a:r>
                      <a:rPr lang="en-US"/>
                      <a:t>41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C28-4ECB-B8F2-C99258CD1007}"/>
                </c:ext>
              </c:extLst>
            </c:dLbl>
            <c:dLbl>
              <c:idx val="7"/>
              <c:layout>
                <c:manualLayout>
                  <c:x val="-2.5237439714070116E-2"/>
                  <c:y val="-6.6056481912348336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C28-4ECB-B8F2-C99258CD1007}"/>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C28-4ECB-B8F2-C99258CD1007}"/>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C28-4ECB-B8F2-C99258CD1007}"/>
                </c:ext>
              </c:extLst>
            </c:dLbl>
            <c:spPr>
              <a:noFill/>
              <a:ln>
                <a:noFill/>
              </a:ln>
              <a:effectLst/>
            </c:spPr>
            <c:txPr>
              <a:bodyPr/>
              <a:lstStyle/>
              <a:p>
                <a:pPr>
                  <a:defRPr lang="uk-UA"/>
                </a:pPr>
                <a:endParaRPr lang="ru-RU"/>
              </a:p>
            </c:txPr>
            <c:showVal val="1"/>
            <c:showLeaderLines val="1"/>
            <c:extLst xmlns:c16r2="http://schemas.microsoft.com/office/drawing/2015/06/chart">
              <c:ext xmlns:c15="http://schemas.microsoft.com/office/drawing/2012/chart" uri="{CE6537A1-D6FC-4f65-9D91-7224C49458BB}"/>
            </c:extLst>
          </c:dLbls>
          <c:cat>
            <c:strRef>
              <c:f>Sheet1!$A$2:$A$11</c:f>
              <c:strCache>
                <c:ptCount val="8"/>
                <c:pt idx="0">
                  <c:v>без змін</c:v>
                </c:pt>
                <c:pt idx="1">
                  <c:v>змінено</c:v>
                </c:pt>
                <c:pt idx="2">
                  <c:v>скасовано</c:v>
                </c:pt>
                <c:pt idx="3">
                  <c:v>повернуто апеляційну скаргу</c:v>
                </c:pt>
                <c:pt idx="4">
                  <c:v>відмовлено у відкритті провадження</c:v>
                </c:pt>
                <c:pt idx="5">
                  <c:v>закрито апеляційне провадження</c:v>
                </c:pt>
                <c:pt idx="6">
                  <c:v>визнано нечинною</c:v>
                </c:pt>
                <c:pt idx="7">
                  <c:v>залишено ап. скаргу без розгляду</c:v>
                </c:pt>
              </c:strCache>
            </c:strRef>
          </c:cat>
          <c:val>
            <c:numRef>
              <c:f>Sheet1!$B$2:$B$11</c:f>
              <c:numCache>
                <c:formatCode>General</c:formatCode>
                <c:ptCount val="10"/>
                <c:pt idx="0">
                  <c:v>3266</c:v>
                </c:pt>
                <c:pt idx="1">
                  <c:v>89</c:v>
                </c:pt>
                <c:pt idx="2">
                  <c:v>1750</c:v>
                </c:pt>
                <c:pt idx="3">
                  <c:v>2392</c:v>
                </c:pt>
                <c:pt idx="4">
                  <c:v>320</c:v>
                </c:pt>
                <c:pt idx="5">
                  <c:v>41</c:v>
                </c:pt>
                <c:pt idx="6">
                  <c:v>12</c:v>
                </c:pt>
                <c:pt idx="7">
                  <c:v>11</c:v>
                </c:pt>
              </c:numCache>
            </c:numRef>
          </c:val>
          <c:extLst xmlns:c16r2="http://schemas.microsoft.com/office/drawing/2015/06/chart">
            <c:ext xmlns:c16="http://schemas.microsoft.com/office/drawing/2014/chart" uri="{C3380CC4-5D6E-409C-BE32-E72D297353CC}">
              <c16:uniqueId val="{00000007-9C28-4ECB-B8F2-C99258CD1007}"/>
            </c:ext>
          </c:extLst>
        </c:ser>
        <c:firstSliceAng val="0"/>
      </c:pieChart>
    </c:plotArea>
    <c:legend>
      <c:legendPos val="r"/>
      <c:legendEntry>
        <c:idx val="8"/>
        <c:delete val="1"/>
      </c:legendEntry>
      <c:legendEntry>
        <c:idx val="9"/>
        <c:delete val="1"/>
      </c:legendEntry>
      <c:layout>
        <c:manualLayout>
          <c:xMode val="edge"/>
          <c:yMode val="edge"/>
          <c:x val="0.54907968503937221"/>
          <c:y val="0"/>
          <c:w val="0.45092024539877473"/>
          <c:h val="1"/>
        </c:manualLayout>
      </c:layout>
      <c:txPr>
        <a:bodyPr/>
        <a:lstStyle/>
        <a:p>
          <a:pPr>
            <a:defRPr lang="uk-UA"/>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Кількість переглянутих рішень</c:v>
                </c:pt>
              </c:strCache>
            </c:strRef>
          </c:tx>
          <c:dLbls>
            <c:dLbl>
              <c:idx val="0"/>
              <c:tx>
                <c:rich>
                  <a:bodyPr/>
                  <a:lstStyle/>
                  <a:p>
                    <a:r>
                      <a:rPr lang="en-US"/>
                      <a:t>889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28E-43FF-8329-31B06D312790}"/>
                </c:ext>
              </c:extLst>
            </c:dLbl>
            <c:dLbl>
              <c:idx val="1"/>
              <c:tx>
                <c:rich>
                  <a:bodyPr/>
                  <a:lstStyle/>
                  <a:p>
                    <a:r>
                      <a:rPr lang="en-US"/>
                      <a:t>522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28E-43FF-8329-31B06D312790}"/>
                </c:ext>
              </c:extLst>
            </c:dLbl>
            <c:dLbl>
              <c:idx val="2"/>
              <c:tx>
                <c:rich>
                  <a:bodyPr/>
                  <a:lstStyle/>
                  <a:p>
                    <a:r>
                      <a:rPr lang="en-US"/>
                      <a:t>752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28E-43FF-8329-31B06D312790}"/>
                </c:ext>
              </c:extLst>
            </c:dLbl>
            <c:dLbl>
              <c:idx val="3"/>
              <c:tx>
                <c:rich>
                  <a:bodyPr/>
                  <a:lstStyle/>
                  <a:p>
                    <a:r>
                      <a:rPr lang="en-US"/>
                      <a:t>1570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28E-43FF-8329-31B06D312790}"/>
                </c:ext>
              </c:extLst>
            </c:dLbl>
            <c:dLbl>
              <c:idx val="4"/>
              <c:tx>
                <c:rich>
                  <a:bodyPr/>
                  <a:lstStyle/>
                  <a:p>
                    <a:r>
                      <a:rPr lang="en-US"/>
                      <a:t>595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28E-43FF-8329-31B06D312790}"/>
                </c:ext>
              </c:extLst>
            </c:dLbl>
            <c:spPr>
              <a:noFill/>
              <a:ln>
                <a:noFill/>
              </a:ln>
              <a:effectLst/>
            </c:spPr>
            <c:txPr>
              <a:bodyPr/>
              <a:lstStyle/>
              <a:p>
                <a:pPr>
                  <a:defRPr lang="uk-UA"/>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Волинська</c:v>
                </c:pt>
                <c:pt idx="1">
                  <c:v>Закарпатська</c:v>
                </c:pt>
                <c:pt idx="2">
                  <c:v>Івано-Франківська</c:v>
                </c:pt>
                <c:pt idx="3">
                  <c:v>Львівська </c:v>
                </c:pt>
                <c:pt idx="4">
                  <c:v>Тернопільська</c:v>
                </c:pt>
              </c:strCache>
            </c:strRef>
          </c:cat>
          <c:val>
            <c:numRef>
              <c:f>Лист1!$B$2:$B$6</c:f>
              <c:numCache>
                <c:formatCode>General</c:formatCode>
                <c:ptCount val="5"/>
                <c:pt idx="0">
                  <c:v>889</c:v>
                </c:pt>
                <c:pt idx="1">
                  <c:v>522</c:v>
                </c:pt>
                <c:pt idx="2">
                  <c:v>752</c:v>
                </c:pt>
                <c:pt idx="3">
                  <c:v>1570</c:v>
                </c:pt>
                <c:pt idx="4">
                  <c:v>595</c:v>
                </c:pt>
              </c:numCache>
            </c:numRef>
          </c:val>
          <c:extLst xmlns:c16r2="http://schemas.microsoft.com/office/drawing/2015/06/chart">
            <c:ext xmlns:c16="http://schemas.microsoft.com/office/drawing/2014/chart" uri="{C3380CC4-5D6E-409C-BE32-E72D297353CC}">
              <c16:uniqueId val="{00000005-E28E-43FF-8329-31B06D312790}"/>
            </c:ext>
          </c:extLst>
        </c:ser>
        <c:ser>
          <c:idx val="1"/>
          <c:order val="1"/>
          <c:tx>
            <c:strRef>
              <c:f>Лист1!$C$1</c:f>
              <c:strCache>
                <c:ptCount val="1"/>
                <c:pt idx="0">
                  <c:v>Кількість змінених рішень</c:v>
                </c:pt>
              </c:strCache>
            </c:strRef>
          </c:tx>
          <c:dLbls>
            <c:dLbl>
              <c:idx val="0"/>
              <c:tx>
                <c:rich>
                  <a:bodyPr/>
                  <a:lstStyle/>
                  <a:p>
                    <a:r>
                      <a:rPr lang="en-US"/>
                      <a:t>18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28E-43FF-8329-31B06D312790}"/>
                </c:ext>
              </c:extLst>
            </c:dLbl>
            <c:dLbl>
              <c:idx val="1"/>
              <c:tx>
                <c:rich>
                  <a:bodyPr/>
                  <a:lstStyle/>
                  <a:p>
                    <a:r>
                      <a:rPr lang="en-US"/>
                      <a:t>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28E-43FF-8329-31B06D312790}"/>
                </c:ext>
              </c:extLst>
            </c:dLbl>
            <c:dLbl>
              <c:idx val="2"/>
              <c:tx>
                <c:rich>
                  <a:bodyPr/>
                  <a:lstStyle/>
                  <a:p>
                    <a:r>
                      <a:rPr lang="en-US"/>
                      <a:t>19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28E-43FF-8329-31B06D312790}"/>
                </c:ext>
              </c:extLst>
            </c:dLbl>
            <c:dLbl>
              <c:idx val="3"/>
              <c:tx>
                <c:rich>
                  <a:bodyPr/>
                  <a:lstStyle/>
                  <a:p>
                    <a:r>
                      <a:rPr lang="en-US"/>
                      <a:t>29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28E-43FF-8329-31B06D312790}"/>
                </c:ext>
              </c:extLst>
            </c:dLbl>
            <c:dLbl>
              <c:idx val="4"/>
              <c:tx>
                <c:rich>
                  <a:bodyPr/>
                  <a:lstStyle/>
                  <a:p>
                    <a:r>
                      <a:rPr lang="en-US"/>
                      <a:t>10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28E-43FF-8329-31B06D312790}"/>
                </c:ext>
              </c:extLst>
            </c:dLbl>
            <c:spPr>
              <a:noFill/>
              <a:ln>
                <a:noFill/>
              </a:ln>
              <a:effectLst/>
            </c:spPr>
            <c:txPr>
              <a:bodyPr/>
              <a:lstStyle/>
              <a:p>
                <a:pPr>
                  <a:defRPr lang="uk-UA"/>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Волинська</c:v>
                </c:pt>
                <c:pt idx="1">
                  <c:v>Закарпатська</c:v>
                </c:pt>
                <c:pt idx="2">
                  <c:v>Івано-Франківська</c:v>
                </c:pt>
                <c:pt idx="3">
                  <c:v>Львівська </c:v>
                </c:pt>
                <c:pt idx="4">
                  <c:v>Тернопільська</c:v>
                </c:pt>
              </c:strCache>
            </c:strRef>
          </c:cat>
          <c:val>
            <c:numRef>
              <c:f>Лист1!$C$2:$C$6</c:f>
              <c:numCache>
                <c:formatCode>General</c:formatCode>
                <c:ptCount val="5"/>
                <c:pt idx="0">
                  <c:v>18</c:v>
                </c:pt>
                <c:pt idx="1">
                  <c:v>9</c:v>
                </c:pt>
                <c:pt idx="2">
                  <c:v>19</c:v>
                </c:pt>
                <c:pt idx="3">
                  <c:v>29</c:v>
                </c:pt>
                <c:pt idx="4">
                  <c:v>10</c:v>
                </c:pt>
              </c:numCache>
            </c:numRef>
          </c:val>
          <c:extLst xmlns:c16r2="http://schemas.microsoft.com/office/drawing/2015/06/chart">
            <c:ext xmlns:c16="http://schemas.microsoft.com/office/drawing/2014/chart" uri="{C3380CC4-5D6E-409C-BE32-E72D297353CC}">
              <c16:uniqueId val="{0000000B-E28E-43FF-8329-31B06D312790}"/>
            </c:ext>
          </c:extLst>
        </c:ser>
        <c:ser>
          <c:idx val="2"/>
          <c:order val="2"/>
          <c:tx>
            <c:strRef>
              <c:f>Лист1!$D$1</c:f>
              <c:strCache>
                <c:ptCount val="1"/>
                <c:pt idx="0">
                  <c:v>Ряд 3</c:v>
                </c:pt>
              </c:strCache>
            </c:strRef>
          </c:tx>
          <c:cat>
            <c:strRef>
              <c:f>Лист1!$A$2:$A$6</c:f>
              <c:strCache>
                <c:ptCount val="5"/>
                <c:pt idx="0">
                  <c:v>Волинська</c:v>
                </c:pt>
                <c:pt idx="1">
                  <c:v>Закарпатська</c:v>
                </c:pt>
                <c:pt idx="2">
                  <c:v>Івано-Франківська</c:v>
                </c:pt>
                <c:pt idx="3">
                  <c:v>Львівська </c:v>
                </c:pt>
                <c:pt idx="4">
                  <c:v>Тернопільська</c:v>
                </c:pt>
              </c:strCache>
            </c:strRef>
          </c:cat>
          <c:val>
            <c:numRef>
              <c:f>Лист1!$D$2:$D$6</c:f>
            </c:numRef>
          </c:val>
          <c:extLst xmlns:c16r2="http://schemas.microsoft.com/office/drawing/2015/06/chart">
            <c:ext xmlns:c16="http://schemas.microsoft.com/office/drawing/2014/chart" uri="{C3380CC4-5D6E-409C-BE32-E72D297353CC}">
              <c16:uniqueId val="{0000000C-E28E-43FF-8329-31B06D312790}"/>
            </c:ext>
          </c:extLst>
        </c:ser>
        <c:axId val="120396800"/>
        <c:axId val="125637376"/>
      </c:barChart>
      <c:catAx>
        <c:axId val="120396800"/>
        <c:scaling>
          <c:orientation val="minMax"/>
        </c:scaling>
        <c:axPos val="b"/>
        <c:numFmt formatCode="General" sourceLinked="1"/>
        <c:tickLblPos val="nextTo"/>
        <c:txPr>
          <a:bodyPr/>
          <a:lstStyle/>
          <a:p>
            <a:pPr>
              <a:defRPr lang="uk-UA"/>
            </a:pPr>
            <a:endParaRPr lang="ru-RU"/>
          </a:p>
        </c:txPr>
        <c:crossAx val="125637376"/>
        <c:crosses val="autoZero"/>
        <c:auto val="1"/>
        <c:lblAlgn val="ctr"/>
        <c:lblOffset val="100"/>
      </c:catAx>
      <c:valAx>
        <c:axId val="125637376"/>
        <c:scaling>
          <c:orientation val="minMax"/>
        </c:scaling>
        <c:axPos val="l"/>
        <c:majorGridlines/>
        <c:numFmt formatCode="General" sourceLinked="1"/>
        <c:tickLblPos val="nextTo"/>
        <c:txPr>
          <a:bodyPr/>
          <a:lstStyle/>
          <a:p>
            <a:pPr>
              <a:defRPr lang="uk-UA"/>
            </a:pPr>
            <a:endParaRPr lang="ru-RU"/>
          </a:p>
        </c:txPr>
        <c:crossAx val="120396800"/>
        <c:crosses val="autoZero"/>
        <c:crossBetween val="between"/>
      </c:valAx>
    </c:plotArea>
    <c:legend>
      <c:legendPos val="r"/>
      <c:txPr>
        <a:bodyPr/>
        <a:lstStyle/>
        <a:p>
          <a:pPr>
            <a:defRPr lang="uk-UA"/>
          </a:pPr>
          <a:endParaRPr lang="ru-RU"/>
        </a:p>
      </c:tx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Sheet1!$A$2</c:f>
              <c:strCache>
                <c:ptCount val="1"/>
              </c:strCache>
            </c:strRef>
          </c:tx>
          <c:spPr>
            <a:solidFill>
              <a:srgbClr val="9999FF"/>
            </a:solidFill>
            <a:ln w="12699">
              <a:solidFill>
                <a:srgbClr val="000000"/>
              </a:solidFill>
              <a:prstDash val="solid"/>
            </a:ln>
          </c:spPr>
          <c:dPt>
            <c:idx val="0"/>
            <c:spPr>
              <a:gradFill rotWithShape="0">
                <a:gsLst>
                  <a:gs pos="0">
                    <a:srgbClr val="CCFFFF"/>
                  </a:gs>
                  <a:gs pos="100000">
                    <a:srgbClr val="33CCCC"/>
                  </a:gs>
                </a:gsLst>
                <a:path path="rect">
                  <a:fillToRect l="50000" t="50000" r="50000" b="50000"/>
                </a:path>
              </a:gradFill>
              <a:ln w="12699">
                <a:solidFill>
                  <a:srgbClr val="CCFFFF"/>
                </a:solidFill>
                <a:prstDash val="solid"/>
              </a:ln>
            </c:spPr>
            <c:extLst xmlns:c16r2="http://schemas.microsoft.com/office/drawing/2015/06/chart">
              <c:ext xmlns:c16="http://schemas.microsoft.com/office/drawing/2014/chart" uri="{C3380CC4-5D6E-409C-BE32-E72D297353CC}">
                <c16:uniqueId val="{00000000-18EC-43D6-BC76-707A6EC8DCA1}"/>
              </c:ext>
            </c:extLst>
          </c:dPt>
          <c:dPt>
            <c:idx val="1"/>
            <c:spPr>
              <a:gradFill rotWithShape="0">
                <a:gsLst>
                  <a:gs pos="0">
                    <a:srgbClr val="CC99FF"/>
                  </a:gs>
                  <a:gs pos="100000">
                    <a:srgbClr val="800080"/>
                  </a:gs>
                </a:gsLst>
                <a:path path="rect">
                  <a:fillToRect l="50000" t="50000" r="50000" b="50000"/>
                </a:path>
              </a:gradFill>
              <a:ln w="12699">
                <a:solidFill>
                  <a:srgbClr val="CC99FF"/>
                </a:solidFill>
                <a:prstDash val="solid"/>
              </a:ln>
            </c:spPr>
            <c:extLst xmlns:c16r2="http://schemas.microsoft.com/office/drawing/2015/06/chart">
              <c:ext xmlns:c16="http://schemas.microsoft.com/office/drawing/2014/chart" uri="{C3380CC4-5D6E-409C-BE32-E72D297353CC}">
                <c16:uniqueId val="{00000001-18EC-43D6-BC76-707A6EC8DCA1}"/>
              </c:ext>
            </c:extLst>
          </c:dPt>
          <c:dPt>
            <c:idx val="2"/>
            <c:spPr>
              <a:gradFill rotWithShape="0">
                <a:gsLst>
                  <a:gs pos="0">
                    <a:srgbClr val="CCFFCC"/>
                  </a:gs>
                  <a:gs pos="100000">
                    <a:srgbClr val="008000"/>
                  </a:gs>
                </a:gsLst>
                <a:path path="rect">
                  <a:fillToRect l="50000" t="50000" r="50000" b="50000"/>
                </a:path>
              </a:gradFill>
              <a:ln w="12699">
                <a:solidFill>
                  <a:srgbClr val="CCFFCC"/>
                </a:solidFill>
                <a:prstDash val="solid"/>
              </a:ln>
            </c:spPr>
            <c:extLst xmlns:c16r2="http://schemas.microsoft.com/office/drawing/2015/06/chart">
              <c:ext xmlns:c16="http://schemas.microsoft.com/office/drawing/2014/chart" uri="{C3380CC4-5D6E-409C-BE32-E72D297353CC}">
                <c16:uniqueId val="{00000002-18EC-43D6-BC76-707A6EC8DCA1}"/>
              </c:ext>
            </c:extLst>
          </c:dPt>
          <c:dPt>
            <c:idx val="3"/>
            <c:spPr>
              <a:gradFill rotWithShape="0">
                <a:gsLst>
                  <a:gs pos="0">
                    <a:srgbClr val="993300"/>
                  </a:gs>
                  <a:gs pos="100000">
                    <a:srgbClr val="FF8080"/>
                  </a:gs>
                </a:gsLst>
                <a:path path="rect">
                  <a:fillToRect l="50000" t="50000" r="50000" b="50000"/>
                </a:path>
              </a:gradFill>
              <a:ln w="12699">
                <a:solidFill>
                  <a:srgbClr val="800000"/>
                </a:solidFill>
                <a:prstDash val="solid"/>
              </a:ln>
            </c:spPr>
            <c:extLst xmlns:c16r2="http://schemas.microsoft.com/office/drawing/2015/06/chart">
              <c:ext xmlns:c16="http://schemas.microsoft.com/office/drawing/2014/chart" uri="{C3380CC4-5D6E-409C-BE32-E72D297353CC}">
                <c16:uniqueId val="{00000003-18EC-43D6-BC76-707A6EC8DCA1}"/>
              </c:ext>
            </c:extLst>
          </c:dPt>
          <c:dPt>
            <c:idx val="4"/>
            <c:spPr>
              <a:gradFill rotWithShape="0">
                <a:gsLst>
                  <a:gs pos="0">
                    <a:srgbClr val="CCFFCC"/>
                  </a:gs>
                  <a:gs pos="100000">
                    <a:srgbClr val="99CC00"/>
                  </a:gs>
                </a:gsLst>
                <a:path path="rect">
                  <a:fillToRect l="50000" t="50000" r="50000" b="50000"/>
                </a:path>
              </a:gradFill>
              <a:ln w="12699">
                <a:solidFill>
                  <a:srgbClr val="CCCCFF"/>
                </a:solidFill>
                <a:prstDash val="solid"/>
              </a:ln>
            </c:spPr>
            <c:extLst xmlns:c16r2="http://schemas.microsoft.com/office/drawing/2015/06/chart">
              <c:ext xmlns:c16="http://schemas.microsoft.com/office/drawing/2014/chart" uri="{C3380CC4-5D6E-409C-BE32-E72D297353CC}">
                <c16:uniqueId val="{00000004-18EC-43D6-BC76-707A6EC8DCA1}"/>
              </c:ext>
            </c:extLst>
          </c:dPt>
          <c:dPt>
            <c:idx val="5"/>
            <c:spPr>
              <a:gradFill rotWithShape="0">
                <a:gsLst>
                  <a:gs pos="0">
                    <a:srgbClr val="FFCC99"/>
                  </a:gs>
                  <a:gs pos="100000">
                    <a:srgbClr val="FF6600"/>
                  </a:gs>
                </a:gsLst>
                <a:path path="rect">
                  <a:fillToRect l="50000" t="50000" r="50000" b="50000"/>
                </a:path>
              </a:gradFill>
              <a:ln w="12699">
                <a:solidFill>
                  <a:srgbClr val="FFCC99"/>
                </a:solidFill>
                <a:prstDash val="solid"/>
              </a:ln>
            </c:spPr>
            <c:extLst xmlns:c16r2="http://schemas.microsoft.com/office/drawing/2015/06/chart">
              <c:ext xmlns:c16="http://schemas.microsoft.com/office/drawing/2014/chart" uri="{C3380CC4-5D6E-409C-BE32-E72D297353CC}">
                <c16:uniqueId val="{00000005-18EC-43D6-BC76-707A6EC8DCA1}"/>
              </c:ext>
            </c:extLst>
          </c:dPt>
          <c:dPt>
            <c:idx val="6"/>
            <c:spPr>
              <a:gradFill rotWithShape="0">
                <a:gsLst>
                  <a:gs pos="0">
                    <a:srgbClr val="FF99CC"/>
                  </a:gs>
                  <a:gs pos="100000">
                    <a:srgbClr val="993366"/>
                  </a:gs>
                </a:gsLst>
                <a:path path="rect">
                  <a:fillToRect l="50000" t="50000" r="50000" b="50000"/>
                </a:path>
              </a:gradFill>
              <a:ln w="12699">
                <a:solidFill>
                  <a:srgbClr val="FF99CC"/>
                </a:solidFill>
                <a:prstDash val="solid"/>
              </a:ln>
            </c:spPr>
            <c:extLst xmlns:c16r2="http://schemas.microsoft.com/office/drawing/2015/06/chart">
              <c:ext xmlns:c16="http://schemas.microsoft.com/office/drawing/2014/chart" uri="{C3380CC4-5D6E-409C-BE32-E72D297353CC}">
                <c16:uniqueId val="{00000006-18EC-43D6-BC76-707A6EC8DCA1}"/>
              </c:ext>
            </c:extLst>
          </c:dPt>
          <c:dPt>
            <c:idx val="7"/>
            <c:spPr>
              <a:gradFill rotWithShape="0">
                <a:gsLst>
                  <a:gs pos="0">
                    <a:srgbClr val="FFCC99"/>
                  </a:gs>
                  <a:gs pos="100000">
                    <a:srgbClr val="993300"/>
                  </a:gs>
                </a:gsLst>
                <a:path path="rect">
                  <a:fillToRect l="50000" t="50000" r="50000" b="50000"/>
                </a:path>
              </a:gradFill>
              <a:ln w="12699">
                <a:solidFill>
                  <a:srgbClr val="FFCC99"/>
                </a:solidFill>
                <a:prstDash val="solid"/>
              </a:ln>
            </c:spPr>
            <c:extLst xmlns:c16r2="http://schemas.microsoft.com/office/drawing/2015/06/chart">
              <c:ext xmlns:c16="http://schemas.microsoft.com/office/drawing/2014/chart" uri="{C3380CC4-5D6E-409C-BE32-E72D297353CC}">
                <c16:uniqueId val="{00000007-18EC-43D6-BC76-707A6EC8DCA1}"/>
              </c:ext>
            </c:extLst>
          </c:dPt>
          <c:dPt>
            <c:idx val="8"/>
            <c:spPr>
              <a:gradFill rotWithShape="0">
                <a:gsLst>
                  <a:gs pos="0">
                    <a:srgbClr val="666699"/>
                  </a:gs>
                  <a:gs pos="100000">
                    <a:srgbClr val="CCCCFF"/>
                  </a:gs>
                </a:gsLst>
                <a:path path="rect">
                  <a:fillToRect l="50000" t="50000" r="50000" b="50000"/>
                </a:path>
              </a:gradFill>
              <a:ln w="12699">
                <a:solidFill>
                  <a:srgbClr val="666699"/>
                </a:solidFill>
                <a:prstDash val="solid"/>
              </a:ln>
            </c:spPr>
            <c:extLst xmlns:c16r2="http://schemas.microsoft.com/office/drawing/2015/06/chart">
              <c:ext xmlns:c16="http://schemas.microsoft.com/office/drawing/2014/chart" uri="{C3380CC4-5D6E-409C-BE32-E72D297353CC}">
                <c16:uniqueId val="{00000008-18EC-43D6-BC76-707A6EC8DCA1}"/>
              </c:ext>
            </c:extLst>
          </c:dPt>
          <c:dPt>
            <c:idx val="9"/>
            <c:spPr>
              <a:solidFill>
                <a:srgbClr val="FF0000"/>
              </a:solidFill>
              <a:ln w="12699">
                <a:solidFill>
                  <a:srgbClr val="FF0000"/>
                </a:solidFill>
                <a:prstDash val="solid"/>
              </a:ln>
            </c:spPr>
            <c:extLst xmlns:c16r2="http://schemas.microsoft.com/office/drawing/2015/06/chart">
              <c:ext xmlns:c16="http://schemas.microsoft.com/office/drawing/2014/chart" uri="{C3380CC4-5D6E-409C-BE32-E72D297353CC}">
                <c16:uniqueId val="{00000009-18EC-43D6-BC76-707A6EC8DCA1}"/>
              </c:ext>
            </c:extLst>
          </c:dPt>
          <c:dPt>
            <c:idx val="1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0A-18EC-43D6-BC76-707A6EC8DCA1}"/>
              </c:ext>
            </c:extLst>
          </c:dPt>
          <c:dPt>
            <c:idx val="11"/>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0B-18EC-43D6-BC76-707A6EC8DCA1}"/>
              </c:ext>
            </c:extLst>
          </c:dPt>
          <c:dLbls>
            <c:dLbl>
              <c:idx val="0"/>
              <c:tx>
                <c:rich>
                  <a:bodyPr/>
                  <a:lstStyle/>
                  <a:p>
                    <a:pPr>
                      <a:defRPr lang="uk-UA" sz="1375" b="1" i="1" u="none" strike="noStrike" baseline="0">
                        <a:solidFill>
                          <a:srgbClr val="000000"/>
                        </a:solidFill>
                        <a:latin typeface="Times New Roman"/>
                        <a:ea typeface="Times New Roman"/>
                        <a:cs typeface="Times New Roman"/>
                      </a:defRPr>
                    </a:pPr>
                    <a:r>
                      <a:rPr lang="en-US"/>
                      <a:t>(3) 500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8EC-43D6-BC76-707A6EC8DCA1}"/>
                </c:ext>
              </c:extLst>
            </c:dLbl>
            <c:dLbl>
              <c:idx val="1"/>
              <c:tx>
                <c:rich>
                  <a:bodyPr/>
                  <a:lstStyle/>
                  <a:p>
                    <a:pPr>
                      <a:defRPr lang="uk-UA" sz="1375" b="1" i="1" u="none" strike="noStrike" baseline="0">
                        <a:solidFill>
                          <a:srgbClr val="000000"/>
                        </a:solidFill>
                        <a:latin typeface="Times New Roman"/>
                        <a:ea typeface="Times New Roman"/>
                        <a:cs typeface="Times New Roman"/>
                      </a:defRPr>
                    </a:pPr>
                    <a:r>
                      <a:rPr lang="en-US"/>
                      <a:t>(5) 473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8EC-43D6-BC76-707A6EC8DCA1}"/>
                </c:ext>
              </c:extLst>
            </c:dLbl>
            <c:dLbl>
              <c:idx val="2"/>
              <c:tx>
                <c:rich>
                  <a:bodyPr/>
                  <a:lstStyle/>
                  <a:p>
                    <a:pPr>
                      <a:defRPr lang="uk-UA" sz="1375" b="1" i="1" u="none" strike="noStrike" baseline="0">
                        <a:solidFill>
                          <a:srgbClr val="000000"/>
                        </a:solidFill>
                        <a:latin typeface="Times New Roman"/>
                        <a:ea typeface="Times New Roman"/>
                        <a:cs typeface="Times New Roman"/>
                      </a:defRPr>
                    </a:pPr>
                    <a:r>
                      <a:rPr lang="en-US"/>
                      <a:t>(6) 378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8EC-43D6-BC76-707A6EC8DCA1}"/>
                </c:ext>
              </c:extLst>
            </c:dLbl>
            <c:dLbl>
              <c:idx val="3"/>
              <c:tx>
                <c:rich>
                  <a:bodyPr/>
                  <a:lstStyle/>
                  <a:p>
                    <a:pPr>
                      <a:defRPr lang="uk-UA" sz="1375" b="1" i="1" u="none" strike="noStrike" baseline="0">
                        <a:solidFill>
                          <a:srgbClr val="000000"/>
                        </a:solidFill>
                        <a:latin typeface="Times New Roman"/>
                        <a:ea typeface="Times New Roman"/>
                        <a:cs typeface="Times New Roman"/>
                      </a:defRPr>
                    </a:pPr>
                    <a:r>
                      <a:rPr lang="en-US"/>
                      <a:t>(8) 869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8EC-43D6-BC76-707A6EC8DCA1}"/>
                </c:ext>
              </c:extLst>
            </c:dLbl>
            <c:dLbl>
              <c:idx val="4"/>
              <c:layout>
                <c:manualLayout>
                  <c:x val="6.4624237759753733E-2"/>
                  <c:y val="-7.2224907715412692E-2"/>
                </c:manualLayout>
              </c:layout>
              <c:tx>
                <c:rich>
                  <a:bodyPr/>
                  <a:lstStyle/>
                  <a:p>
                    <a:pPr>
                      <a:defRPr lang="uk-UA" sz="1375" b="1" i="1" u="none" strike="noStrike" baseline="0">
                        <a:solidFill>
                          <a:srgbClr val="000000"/>
                        </a:solidFill>
                        <a:latin typeface="Times New Roman"/>
                        <a:ea typeface="Times New Roman"/>
                        <a:cs typeface="Times New Roman"/>
                      </a:defRPr>
                    </a:pPr>
                    <a:r>
                      <a:rPr lang="en-US"/>
                      <a:t>(2) 273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8EC-43D6-BC76-707A6EC8DCA1}"/>
                </c:ext>
              </c:extLst>
            </c:dLbl>
            <c:dLbl>
              <c:idx val="5"/>
              <c:layout>
                <c:manualLayout>
                  <c:x val="0.12653555147711798"/>
                  <c:y val="-0.11934178281190792"/>
                </c:manualLayout>
              </c:layout>
              <c:tx>
                <c:rich>
                  <a:bodyPr/>
                  <a:lstStyle/>
                  <a:p>
                    <a:pPr>
                      <a:defRPr lang="uk-UA" sz="1375" b="1" i="1" u="none" strike="noStrike" baseline="0">
                        <a:solidFill>
                          <a:srgbClr val="000000"/>
                        </a:solidFill>
                        <a:latin typeface="Times New Roman"/>
                        <a:ea typeface="Times New Roman"/>
                        <a:cs typeface="Times New Roman"/>
                      </a:defRPr>
                    </a:pPr>
                    <a:r>
                      <a:rPr lang="en-US"/>
                      <a:t>(4) 3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8EC-43D6-BC76-707A6EC8DCA1}"/>
                </c:ext>
              </c:extLst>
            </c:dLbl>
            <c:dLbl>
              <c:idx val="6"/>
              <c:layout>
                <c:manualLayout>
                  <c:x val="0.10232747222386668"/>
                  <c:y val="-0.14034662512105772"/>
                </c:manualLayout>
              </c:layout>
              <c:tx>
                <c:rich>
                  <a:bodyPr/>
                  <a:lstStyle/>
                  <a:p>
                    <a:pPr>
                      <a:defRPr lang="uk-UA" sz="1375" b="1" i="1" u="none" strike="noStrike" baseline="0">
                        <a:solidFill>
                          <a:srgbClr val="000000"/>
                        </a:solidFill>
                        <a:latin typeface="Times New Roman"/>
                        <a:ea typeface="Times New Roman"/>
                        <a:cs typeface="Times New Roman"/>
                      </a:defRPr>
                    </a:pPr>
                    <a:r>
                      <a:rPr lang="en-US"/>
                      <a:t>(7) 13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8EC-43D6-BC76-707A6EC8DCA1}"/>
                </c:ext>
              </c:extLst>
            </c:dLbl>
            <c:dLbl>
              <c:idx val="7"/>
              <c:layout>
                <c:manualLayout>
                  <c:x val="8.3079667673119806E-2"/>
                  <c:y val="-5.9314216738950536E-2"/>
                </c:manualLayout>
              </c:layout>
              <c:tx>
                <c:rich>
                  <a:bodyPr/>
                  <a:lstStyle/>
                  <a:p>
                    <a:pPr>
                      <a:defRPr lang="uk-UA" sz="1375" b="1" i="1" u="none" strike="noStrike" baseline="0">
                        <a:solidFill>
                          <a:srgbClr val="000000"/>
                        </a:solidFill>
                        <a:latin typeface="Times New Roman"/>
                        <a:ea typeface="Times New Roman"/>
                        <a:cs typeface="Times New Roman"/>
                      </a:defRPr>
                    </a:pPr>
                    <a:r>
                      <a:rPr lang="en-US"/>
                      <a:t>(9) 107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8EC-43D6-BC76-707A6EC8DCA1}"/>
                </c:ext>
              </c:extLst>
            </c:dLbl>
            <c:dLbl>
              <c:idx val="8"/>
              <c:layout>
                <c:manualLayout>
                  <c:x val="0.17202407593787614"/>
                  <c:y val="-5.9331620980532802E-2"/>
                </c:manualLayout>
              </c:layout>
              <c:tx>
                <c:rich>
                  <a:bodyPr/>
                  <a:lstStyle/>
                  <a:p>
                    <a:pPr>
                      <a:defRPr lang="uk-UA" sz="1375" b="1" i="1" u="none" strike="noStrike" baseline="0">
                        <a:solidFill>
                          <a:srgbClr val="000000"/>
                        </a:solidFill>
                        <a:latin typeface="Times New Roman"/>
                        <a:ea typeface="Times New Roman"/>
                        <a:cs typeface="Times New Roman"/>
                      </a:defRPr>
                    </a:pPr>
                    <a:r>
                      <a:rPr lang="en-US"/>
                      <a:t>(10) 1206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8EC-43D6-BC76-707A6EC8DCA1}"/>
                </c:ext>
              </c:extLst>
            </c:dLbl>
            <c:dLbl>
              <c:idx val="9"/>
              <c:layout>
                <c:manualLayout>
                  <c:x val="0.10316728829948887"/>
                  <c:y val="0.10056080957794714"/>
                </c:manualLayout>
              </c:layout>
              <c:tx>
                <c:rich>
                  <a:bodyPr/>
                  <a:lstStyle/>
                  <a:p>
                    <a:pPr>
                      <a:defRPr lang="uk-UA" sz="1375" b="1" i="1" u="none" strike="noStrike" baseline="0">
                        <a:solidFill>
                          <a:srgbClr val="000000"/>
                        </a:solidFill>
                        <a:latin typeface="Times New Roman"/>
                        <a:ea typeface="Times New Roman"/>
                        <a:cs typeface="Times New Roman"/>
                      </a:defRPr>
                    </a:pPr>
                    <a:r>
                      <a:rPr lang="en-US"/>
                      <a:t>(11) 202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8EC-43D6-BC76-707A6EC8DCA1}"/>
                </c:ext>
              </c:extLst>
            </c:dLbl>
            <c:dLbl>
              <c:idx val="10"/>
              <c:tx>
                <c:rich>
                  <a:bodyPr/>
                  <a:lstStyle/>
                  <a:p>
                    <a:pPr>
                      <a:defRPr lang="uk-UA" sz="1375" b="1" i="1" u="none" strike="noStrike" baseline="0">
                        <a:solidFill>
                          <a:srgbClr val="000000"/>
                        </a:solidFill>
                        <a:latin typeface="Times New Roman"/>
                        <a:ea typeface="Times New Roman"/>
                        <a:cs typeface="Times New Roman"/>
                      </a:defRPr>
                    </a:pPr>
                    <a:r>
                      <a:rPr lang="en-US"/>
                      <a:t>(12) 303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8EC-43D6-BC76-707A6EC8DCA1}"/>
                </c:ext>
              </c:extLst>
            </c:dLbl>
            <c:dLbl>
              <c:idx val="11"/>
              <c:layout>
                <c:manualLayout>
                  <c:x val="-3.2516093383064E-2"/>
                  <c:y val="0.32263814616755798"/>
                </c:manualLayout>
              </c:layout>
              <c:tx>
                <c:rich>
                  <a:bodyPr/>
                  <a:lstStyle/>
                  <a:p>
                    <a:pPr>
                      <a:defRPr lang="uk-UA" sz="1375" b="1" i="1" u="none" strike="noStrike" baseline="0">
                        <a:solidFill>
                          <a:srgbClr val="000000"/>
                        </a:solidFill>
                        <a:latin typeface="Times New Roman"/>
                        <a:ea typeface="Times New Roman"/>
                        <a:cs typeface="Times New Roman"/>
                      </a:defRPr>
                    </a:pPr>
                    <a:r>
                      <a:rPr lang="en-US"/>
                      <a:t>(2) 1
</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8EC-43D6-BC76-707A6EC8DCA1}"/>
                </c:ext>
              </c:extLst>
            </c:dLbl>
            <c:dLbl>
              <c:idx val="12"/>
              <c:layout>
                <c:manualLayout>
                  <c:xMode val="edge"/>
                  <c:yMode val="edge"/>
                  <c:x val="0.50423728813559321"/>
                  <c:y val="0.67118644067796607"/>
                </c:manualLayout>
              </c:layout>
              <c:tx>
                <c:rich>
                  <a:bodyPr/>
                  <a:lstStyle/>
                  <a:p>
                    <a:pPr>
                      <a:defRPr lang="uk-UA" sz="1375" b="1" i="1" u="none" strike="noStrike" baseline="0">
                        <a:solidFill>
                          <a:srgbClr val="000000"/>
                        </a:solidFill>
                        <a:latin typeface="Times New Roman"/>
                        <a:ea typeface="Times New Roman"/>
                        <a:cs typeface="Times New Roman"/>
                      </a:defRPr>
                    </a:pPr>
                    <a:r>
                      <a:t>3
527
3%</a:t>
                    </a:r>
                  </a:p>
                </c:rich>
              </c:tx>
              <c:spPr>
                <a:noFill/>
                <a:ln w="2539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8EC-43D6-BC76-707A6EC8DCA1}"/>
                </c:ext>
              </c:extLst>
            </c:dLbl>
            <c:dLbl>
              <c:idx val="13"/>
              <c:layout>
                <c:manualLayout>
                  <c:xMode val="edge"/>
                  <c:yMode val="edge"/>
                  <c:x val="0.41949152542372875"/>
                  <c:y val="0.60169491525424001"/>
                </c:manualLayout>
              </c:layout>
              <c:dLblPos val="bestFit"/>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8EC-43D6-BC76-707A6EC8DCA1}"/>
                </c:ext>
              </c:extLst>
            </c:dLbl>
            <c:dLbl>
              <c:idx val="14"/>
              <c:layout>
                <c:manualLayout>
                  <c:xMode val="edge"/>
                  <c:yMode val="edge"/>
                  <c:x val="0.55932203389830504"/>
                  <c:y val="0.6271186440677966"/>
                </c:manualLayout>
              </c:layout>
              <c:dLblPos val="bestFit"/>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8EC-43D6-BC76-707A6EC8DCA1}"/>
                </c:ext>
              </c:extLst>
            </c:dLbl>
            <c:dLbl>
              <c:idx val="15"/>
              <c:layout>
                <c:manualLayout>
                  <c:xMode val="edge"/>
                  <c:yMode val="edge"/>
                  <c:x val="0.64971751412429646"/>
                  <c:y val="0.68135593220339419"/>
                </c:manualLayout>
              </c:layout>
              <c:dLblPos val="bestFit"/>
              <c:showVal val="1"/>
              <c:showPercent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8EC-43D6-BC76-707A6EC8DCA1}"/>
                </c:ext>
              </c:extLst>
            </c:dLbl>
            <c:numFmt formatCode="0%" sourceLinked="0"/>
            <c:spPr>
              <a:noFill/>
              <a:ln w="25398">
                <a:noFill/>
              </a:ln>
            </c:spPr>
            <c:txPr>
              <a:bodyPr/>
              <a:lstStyle/>
              <a:p>
                <a:pPr>
                  <a:defRPr lang="uk-UA" sz="1375" b="1" i="1" u="none" strike="noStrike" baseline="0">
                    <a:solidFill>
                      <a:srgbClr val="000000"/>
                    </a:solidFill>
                    <a:latin typeface="Times New Roman"/>
                    <a:ea typeface="Times New Roman"/>
                    <a:cs typeface="Times New Roman"/>
                  </a:defRPr>
                </a:pPr>
                <a:endParaRPr lang="ru-RU"/>
              </a:p>
            </c:txPr>
            <c:showVal val="1"/>
            <c:showPercent val="1"/>
            <c:separator>
</c:separator>
            <c:showLeaderLines val="1"/>
            <c:extLst xmlns:c16r2="http://schemas.microsoft.com/office/drawing/2015/06/chart">
              <c:ext xmlns:c15="http://schemas.microsoft.com/office/drawing/2012/chart" uri="{CE6537A1-D6FC-4f65-9D91-7224C49458BB}"/>
            </c:extLst>
          </c:dLbls>
          <c:cat>
            <c:strRef>
              <c:f>Sheet1!$B$1:$M$1</c:f>
              <c:strCache>
                <c:ptCount val="12"/>
                <c:pt idx="0">
                  <c:v>(3) Справи зі спорів у сфері забезпечення громадського порядку та безпеки, національної безпеки та оборони України</c:v>
                </c:pt>
                <c:pt idx="1">
                  <c:v>(5) Справи зі спорів з приводу реалізації державної політики у сфері економіки</c:v>
                </c:pt>
                <c:pt idx="2">
                  <c:v>(6) Справи зі спорів з приводу сталого розвитку населених пунктів та землекористування</c:v>
                </c:pt>
                <c:pt idx="3">
                  <c:v>(8) Справи зі спорів з приводу адміністрування податків, зборів, платежів, а також контролю за дотриманням вимог податкового законодавства</c:v>
                </c:pt>
                <c:pt idx="4">
                  <c:v>(2) Справи зі спорів з приводу забезпечення реалізації конституційних прав особи, атакож реалізації статусу депутата представницького органу влади, організації діяльності цих органів</c:v>
                </c:pt>
                <c:pt idx="5">
                  <c:v>(4) Справи зі спорів з приводу реалізації державної політики у сфері освіти, науки, культури та спорту</c:v>
                </c:pt>
                <c:pt idx="6">
                  <c:v>(7) Справи зі спорів з приводу охорони навколишнього природного середовища</c:v>
                </c:pt>
                <c:pt idx="7">
                  <c:v>(9) Справи зі спорів з приводу реалізації публічної фінансової політики</c:v>
                </c:pt>
                <c:pt idx="8">
                  <c:v>(10) Справи зі спорів з приводу реалізації публічної політики у сферах зайнятості населення та соціального захисту громадян</c:v>
                </c:pt>
                <c:pt idx="9">
                  <c:v>(11) Справи зі спорів у сфері юстиції</c:v>
                </c:pt>
                <c:pt idx="10">
                  <c:v>(12) Справи зі спорів з відносин публічної служби</c:v>
                </c:pt>
                <c:pt idx="11">
                  <c:v>(2) Справи зі спорів з приводу забезпечення реалізації громадянами права голосу на виборах і референдумах</c:v>
                </c:pt>
              </c:strCache>
            </c:strRef>
          </c:cat>
          <c:val>
            <c:numRef>
              <c:f>Sheet1!$B$2:$M$2</c:f>
              <c:numCache>
                <c:formatCode>General</c:formatCode>
                <c:ptCount val="12"/>
                <c:pt idx="0">
                  <c:v>500</c:v>
                </c:pt>
                <c:pt idx="1">
                  <c:v>473</c:v>
                </c:pt>
                <c:pt idx="2">
                  <c:v>378</c:v>
                </c:pt>
                <c:pt idx="3">
                  <c:v>869</c:v>
                </c:pt>
                <c:pt idx="4">
                  <c:v>273</c:v>
                </c:pt>
                <c:pt idx="5">
                  <c:v>3</c:v>
                </c:pt>
                <c:pt idx="6">
                  <c:v>13</c:v>
                </c:pt>
                <c:pt idx="7">
                  <c:v>107</c:v>
                </c:pt>
                <c:pt idx="8">
                  <c:v>1206</c:v>
                </c:pt>
                <c:pt idx="9">
                  <c:v>202</c:v>
                </c:pt>
                <c:pt idx="10">
                  <c:v>303</c:v>
                </c:pt>
                <c:pt idx="11">
                  <c:v>1</c:v>
                </c:pt>
              </c:numCache>
            </c:numRef>
          </c:val>
          <c:extLst xmlns:c16r2="http://schemas.microsoft.com/office/drawing/2015/06/chart">
            <c:ext xmlns:c16="http://schemas.microsoft.com/office/drawing/2014/chart" uri="{C3380CC4-5D6E-409C-BE32-E72D297353CC}">
              <c16:uniqueId val="{00000010-18EC-43D6-BC76-707A6EC8DCA1}"/>
            </c:ext>
          </c:extLst>
        </c:ser>
        <c:ser>
          <c:idx val="1"/>
          <c:order val="1"/>
          <c:tx>
            <c:strRef>
              <c:f>Sheet1!$A$3</c:f>
              <c:strCache>
                <c:ptCount val="1"/>
              </c:strCache>
            </c:strRef>
          </c:tx>
          <c:spPr>
            <a:solidFill>
              <a:srgbClr val="993366"/>
            </a:solidFill>
            <a:ln w="12699">
              <a:solidFill>
                <a:srgbClr val="000000"/>
              </a:solidFill>
              <a:prstDash val="solid"/>
            </a:ln>
          </c:spPr>
          <c:dPt>
            <c:idx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11-18EC-43D6-BC76-707A6EC8DCA1}"/>
              </c:ext>
            </c:extLst>
          </c:dPt>
          <c:dPt>
            <c:idx val="2"/>
            <c:spPr>
              <a:solidFill>
                <a:srgbClr val="FFFFCC"/>
              </a:solidFill>
              <a:ln w="12699">
                <a:solidFill>
                  <a:srgbClr val="000000"/>
                </a:solidFill>
                <a:prstDash val="solid"/>
              </a:ln>
            </c:spPr>
            <c:extLst xmlns:c16r2="http://schemas.microsoft.com/office/drawing/2015/06/chart">
              <c:ext xmlns:c16="http://schemas.microsoft.com/office/drawing/2014/chart" uri="{C3380CC4-5D6E-409C-BE32-E72D297353CC}">
                <c16:uniqueId val="{00000012-18EC-43D6-BC76-707A6EC8DCA1}"/>
              </c:ext>
            </c:extLst>
          </c:dPt>
          <c:dPt>
            <c:idx val="3"/>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13-18EC-43D6-BC76-707A6EC8DCA1}"/>
              </c:ext>
            </c:extLst>
          </c:dPt>
          <c:dPt>
            <c:idx val="4"/>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14-18EC-43D6-BC76-707A6EC8DCA1}"/>
              </c:ext>
            </c:extLst>
          </c:dPt>
          <c:dPt>
            <c:idx val="5"/>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15-18EC-43D6-BC76-707A6EC8DCA1}"/>
              </c:ext>
            </c:extLst>
          </c:dPt>
          <c:dPt>
            <c:idx val="6"/>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16-18EC-43D6-BC76-707A6EC8DCA1}"/>
              </c:ext>
            </c:extLst>
          </c:dPt>
          <c:dPt>
            <c:idx val="7"/>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17-18EC-43D6-BC76-707A6EC8DCA1}"/>
              </c:ext>
            </c:extLst>
          </c:dPt>
          <c:dPt>
            <c:idx val="8"/>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18-18EC-43D6-BC76-707A6EC8DCA1}"/>
              </c:ext>
            </c:extLst>
          </c:dPt>
          <c:dPt>
            <c:idx val="9"/>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19-18EC-43D6-BC76-707A6EC8DCA1}"/>
              </c:ext>
            </c:extLst>
          </c:dPt>
          <c:dPt>
            <c:idx val="1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1A-18EC-43D6-BC76-707A6EC8DCA1}"/>
              </c:ext>
            </c:extLst>
          </c:dPt>
          <c:dPt>
            <c:idx val="11"/>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1B-18EC-43D6-BC76-707A6EC8DCA1}"/>
              </c:ext>
            </c:extLst>
          </c:dPt>
          <c:dLbls>
            <c:numFmt formatCode="0%" sourceLinked="0"/>
            <c:spPr>
              <a:noFill/>
              <a:ln w="25398">
                <a:noFill/>
              </a:ln>
            </c:spPr>
            <c:txPr>
              <a:bodyPr/>
              <a:lstStyle/>
              <a:p>
                <a:pPr>
                  <a:defRPr lang="uk-UA" sz="925" b="1" i="0" u="none" strike="noStrike" baseline="0">
                    <a:solidFill>
                      <a:srgbClr val="000000"/>
                    </a:solidFill>
                    <a:latin typeface="Arial Cyr"/>
                    <a:ea typeface="Arial Cyr"/>
                    <a:cs typeface="Arial Cyr"/>
                  </a:defRPr>
                </a:pPr>
                <a:endParaRPr lang="ru-RU"/>
              </a:p>
            </c:txPr>
            <c:showLegendKey val="1"/>
            <c:showVal val="1"/>
            <c:showPercent val="1"/>
            <c:showLeaderLines val="1"/>
            <c:extLst xmlns:c16r2="http://schemas.microsoft.com/office/drawing/2015/06/chart">
              <c:ext xmlns:c15="http://schemas.microsoft.com/office/drawing/2012/chart" uri="{CE6537A1-D6FC-4f65-9D91-7224C49458BB}"/>
            </c:extLst>
          </c:dLbls>
          <c:cat>
            <c:strRef>
              <c:f>Sheet1!$B$1:$M$1</c:f>
              <c:strCache>
                <c:ptCount val="12"/>
                <c:pt idx="0">
                  <c:v>(3) Справи зі спорів у сфері забезпечення громадського порядку та безпеки, національної безпеки та оборони України</c:v>
                </c:pt>
                <c:pt idx="1">
                  <c:v>(5) Справи зі спорів з приводу реалізації державної політики у сфері економіки</c:v>
                </c:pt>
                <c:pt idx="2">
                  <c:v>(6) Справи зі спорів з приводу сталого розвитку населених пунктів та землекористування</c:v>
                </c:pt>
                <c:pt idx="3">
                  <c:v>(8) Справи зі спорів з приводу адміністрування податків, зборів, платежів, а також контролю за дотриманням вимог податкового законодавства</c:v>
                </c:pt>
                <c:pt idx="4">
                  <c:v>(2) Справи зі спорів з приводу забезпечення реалізації конституційних прав особи, атакож реалізації статусу депутата представницького органу влади, організації діяльності цих органів</c:v>
                </c:pt>
                <c:pt idx="5">
                  <c:v>(4) Справи зі спорів з приводу реалізації державної політики у сфері освіти, науки, культури та спорту</c:v>
                </c:pt>
                <c:pt idx="6">
                  <c:v>(7) Справи зі спорів з приводу охорони навколишнього природного середовища</c:v>
                </c:pt>
                <c:pt idx="7">
                  <c:v>(9) Справи зі спорів з приводу реалізації публічної фінансової політики</c:v>
                </c:pt>
                <c:pt idx="8">
                  <c:v>(10) Справи зі спорів з приводу реалізації публічної політики у сферах зайнятості населення та соціального захисту громадян</c:v>
                </c:pt>
                <c:pt idx="9">
                  <c:v>(11) Справи зі спорів у сфері юстиції</c:v>
                </c:pt>
                <c:pt idx="10">
                  <c:v>(12) Справи зі спорів з відносин публічної служби</c:v>
                </c:pt>
                <c:pt idx="11">
                  <c:v>(2) Справи зі спорів з приводу забезпечення реалізації громадянами права голосу на виборах і референдумах</c:v>
                </c:pt>
              </c:strCache>
            </c:strRef>
          </c:cat>
          <c:val>
            <c:numRef>
              <c:f>Sheet1!$B$3:$M$3</c:f>
              <c:numCache>
                <c:formatCode>General</c:formatCode>
                <c:ptCount val="12"/>
              </c:numCache>
            </c:numRef>
          </c:val>
          <c:extLst xmlns:c16r2="http://schemas.microsoft.com/office/drawing/2015/06/chart">
            <c:ext xmlns:c16="http://schemas.microsoft.com/office/drawing/2014/chart" uri="{C3380CC4-5D6E-409C-BE32-E72D297353CC}">
              <c16:uniqueId val="{0000001C-18EC-43D6-BC76-707A6EC8DCA1}"/>
            </c:ext>
          </c:extLst>
        </c:ser>
        <c:ser>
          <c:idx val="2"/>
          <c:order val="2"/>
          <c:tx>
            <c:strRef>
              <c:f>Sheet1!$A$4</c:f>
              <c:strCache>
                <c:ptCount val="1"/>
              </c:strCache>
            </c:strRef>
          </c:tx>
          <c:spPr>
            <a:solidFill>
              <a:srgbClr val="FFFFCC"/>
            </a:solidFill>
            <a:ln w="12699">
              <a:solidFill>
                <a:srgbClr val="000000"/>
              </a:solidFill>
              <a:prstDash val="solid"/>
            </a:ln>
          </c:spPr>
          <c:dPt>
            <c:idx val="0"/>
            <c:spPr>
              <a:solidFill>
                <a:srgbClr val="9999FF"/>
              </a:solidFill>
              <a:ln w="12699">
                <a:solidFill>
                  <a:srgbClr val="000000"/>
                </a:solidFill>
                <a:prstDash val="solid"/>
              </a:ln>
            </c:spPr>
            <c:extLst xmlns:c16r2="http://schemas.microsoft.com/office/drawing/2015/06/chart">
              <c:ext xmlns:c16="http://schemas.microsoft.com/office/drawing/2014/chart" uri="{C3380CC4-5D6E-409C-BE32-E72D297353CC}">
                <c16:uniqueId val="{0000001D-18EC-43D6-BC76-707A6EC8DCA1}"/>
              </c:ext>
            </c:extLst>
          </c:dPt>
          <c:dPt>
            <c:idx val="1"/>
            <c:spPr>
              <a:solidFill>
                <a:srgbClr val="993366"/>
              </a:solidFill>
              <a:ln w="12699">
                <a:solidFill>
                  <a:srgbClr val="000000"/>
                </a:solidFill>
                <a:prstDash val="solid"/>
              </a:ln>
            </c:spPr>
            <c:extLst xmlns:c16r2="http://schemas.microsoft.com/office/drawing/2015/06/chart">
              <c:ext xmlns:c16="http://schemas.microsoft.com/office/drawing/2014/chart" uri="{C3380CC4-5D6E-409C-BE32-E72D297353CC}">
                <c16:uniqueId val="{0000001E-18EC-43D6-BC76-707A6EC8DCA1}"/>
              </c:ext>
            </c:extLst>
          </c:dPt>
          <c:dPt>
            <c:idx val="3"/>
            <c:spPr>
              <a:solidFill>
                <a:srgbClr val="CCFFFF"/>
              </a:solidFill>
              <a:ln w="12699">
                <a:solidFill>
                  <a:srgbClr val="000000"/>
                </a:solidFill>
                <a:prstDash val="solid"/>
              </a:ln>
            </c:spPr>
            <c:extLst xmlns:c16r2="http://schemas.microsoft.com/office/drawing/2015/06/chart">
              <c:ext xmlns:c16="http://schemas.microsoft.com/office/drawing/2014/chart" uri="{C3380CC4-5D6E-409C-BE32-E72D297353CC}">
                <c16:uniqueId val="{0000001F-18EC-43D6-BC76-707A6EC8DCA1}"/>
              </c:ext>
            </c:extLst>
          </c:dPt>
          <c:dPt>
            <c:idx val="4"/>
            <c:spPr>
              <a:solidFill>
                <a:srgbClr val="660066"/>
              </a:solidFill>
              <a:ln w="12699">
                <a:solidFill>
                  <a:srgbClr val="000000"/>
                </a:solidFill>
                <a:prstDash val="solid"/>
              </a:ln>
            </c:spPr>
            <c:extLst xmlns:c16r2="http://schemas.microsoft.com/office/drawing/2015/06/chart">
              <c:ext xmlns:c16="http://schemas.microsoft.com/office/drawing/2014/chart" uri="{C3380CC4-5D6E-409C-BE32-E72D297353CC}">
                <c16:uniqueId val="{00000020-18EC-43D6-BC76-707A6EC8DCA1}"/>
              </c:ext>
            </c:extLst>
          </c:dPt>
          <c:dPt>
            <c:idx val="5"/>
            <c:spPr>
              <a:solidFill>
                <a:srgbClr val="FF8080"/>
              </a:solidFill>
              <a:ln w="12699">
                <a:solidFill>
                  <a:srgbClr val="000000"/>
                </a:solidFill>
                <a:prstDash val="solid"/>
              </a:ln>
            </c:spPr>
            <c:extLst xmlns:c16r2="http://schemas.microsoft.com/office/drawing/2015/06/chart">
              <c:ext xmlns:c16="http://schemas.microsoft.com/office/drawing/2014/chart" uri="{C3380CC4-5D6E-409C-BE32-E72D297353CC}">
                <c16:uniqueId val="{00000021-18EC-43D6-BC76-707A6EC8DCA1}"/>
              </c:ext>
            </c:extLst>
          </c:dPt>
          <c:dPt>
            <c:idx val="6"/>
            <c:spPr>
              <a:solidFill>
                <a:srgbClr val="0066CC"/>
              </a:solidFill>
              <a:ln w="12699">
                <a:solidFill>
                  <a:srgbClr val="000000"/>
                </a:solidFill>
                <a:prstDash val="solid"/>
              </a:ln>
            </c:spPr>
            <c:extLst xmlns:c16r2="http://schemas.microsoft.com/office/drawing/2015/06/chart">
              <c:ext xmlns:c16="http://schemas.microsoft.com/office/drawing/2014/chart" uri="{C3380CC4-5D6E-409C-BE32-E72D297353CC}">
                <c16:uniqueId val="{00000022-18EC-43D6-BC76-707A6EC8DCA1}"/>
              </c:ext>
            </c:extLst>
          </c:dPt>
          <c:dPt>
            <c:idx val="7"/>
            <c:spPr>
              <a:solidFill>
                <a:srgbClr val="CCCCFF"/>
              </a:solidFill>
              <a:ln w="12699">
                <a:solidFill>
                  <a:srgbClr val="000000"/>
                </a:solidFill>
                <a:prstDash val="solid"/>
              </a:ln>
            </c:spPr>
            <c:extLst xmlns:c16r2="http://schemas.microsoft.com/office/drawing/2015/06/chart">
              <c:ext xmlns:c16="http://schemas.microsoft.com/office/drawing/2014/chart" uri="{C3380CC4-5D6E-409C-BE32-E72D297353CC}">
                <c16:uniqueId val="{00000023-18EC-43D6-BC76-707A6EC8DCA1}"/>
              </c:ext>
            </c:extLst>
          </c:dPt>
          <c:dPt>
            <c:idx val="8"/>
            <c:spPr>
              <a:solidFill>
                <a:srgbClr val="000080"/>
              </a:solidFill>
              <a:ln w="12699">
                <a:solidFill>
                  <a:srgbClr val="000000"/>
                </a:solidFill>
                <a:prstDash val="solid"/>
              </a:ln>
            </c:spPr>
            <c:extLst xmlns:c16r2="http://schemas.microsoft.com/office/drawing/2015/06/chart">
              <c:ext xmlns:c16="http://schemas.microsoft.com/office/drawing/2014/chart" uri="{C3380CC4-5D6E-409C-BE32-E72D297353CC}">
                <c16:uniqueId val="{00000024-18EC-43D6-BC76-707A6EC8DCA1}"/>
              </c:ext>
            </c:extLst>
          </c:dPt>
          <c:dPt>
            <c:idx val="9"/>
            <c:spPr>
              <a:solidFill>
                <a:srgbClr val="FF00FF"/>
              </a:solidFill>
              <a:ln w="12699">
                <a:solidFill>
                  <a:srgbClr val="000000"/>
                </a:solidFill>
                <a:prstDash val="solid"/>
              </a:ln>
            </c:spPr>
            <c:extLst xmlns:c16r2="http://schemas.microsoft.com/office/drawing/2015/06/chart">
              <c:ext xmlns:c16="http://schemas.microsoft.com/office/drawing/2014/chart" uri="{C3380CC4-5D6E-409C-BE32-E72D297353CC}">
                <c16:uniqueId val="{00000025-18EC-43D6-BC76-707A6EC8DCA1}"/>
              </c:ext>
            </c:extLst>
          </c:dPt>
          <c:dPt>
            <c:idx val="10"/>
            <c:spPr>
              <a:solidFill>
                <a:srgbClr val="FFFF00"/>
              </a:solidFill>
              <a:ln w="12699">
                <a:solidFill>
                  <a:srgbClr val="000000"/>
                </a:solidFill>
                <a:prstDash val="solid"/>
              </a:ln>
            </c:spPr>
            <c:extLst xmlns:c16r2="http://schemas.microsoft.com/office/drawing/2015/06/chart">
              <c:ext xmlns:c16="http://schemas.microsoft.com/office/drawing/2014/chart" uri="{C3380CC4-5D6E-409C-BE32-E72D297353CC}">
                <c16:uniqueId val="{00000026-18EC-43D6-BC76-707A6EC8DCA1}"/>
              </c:ext>
            </c:extLst>
          </c:dPt>
          <c:dPt>
            <c:idx val="11"/>
            <c:spPr>
              <a:solidFill>
                <a:srgbClr val="00FFFF"/>
              </a:solidFill>
              <a:ln w="12699">
                <a:solidFill>
                  <a:srgbClr val="000000"/>
                </a:solidFill>
                <a:prstDash val="solid"/>
              </a:ln>
            </c:spPr>
            <c:extLst xmlns:c16r2="http://schemas.microsoft.com/office/drawing/2015/06/chart">
              <c:ext xmlns:c16="http://schemas.microsoft.com/office/drawing/2014/chart" uri="{C3380CC4-5D6E-409C-BE32-E72D297353CC}">
                <c16:uniqueId val="{00000027-18EC-43D6-BC76-707A6EC8DCA1}"/>
              </c:ext>
            </c:extLst>
          </c:dPt>
          <c:dLbls>
            <c:numFmt formatCode="0%" sourceLinked="0"/>
            <c:spPr>
              <a:noFill/>
              <a:ln w="25398">
                <a:noFill/>
              </a:ln>
            </c:spPr>
            <c:txPr>
              <a:bodyPr/>
              <a:lstStyle/>
              <a:p>
                <a:pPr>
                  <a:defRPr lang="uk-UA" sz="925" b="1" i="0" u="none" strike="noStrike" baseline="0">
                    <a:solidFill>
                      <a:srgbClr val="000000"/>
                    </a:solidFill>
                    <a:latin typeface="Arial Cyr"/>
                    <a:ea typeface="Arial Cyr"/>
                    <a:cs typeface="Arial Cyr"/>
                  </a:defRPr>
                </a:pPr>
                <a:endParaRPr lang="ru-RU"/>
              </a:p>
            </c:txPr>
            <c:showLegendKey val="1"/>
            <c:showVal val="1"/>
            <c:showPercent val="1"/>
            <c:showLeaderLines val="1"/>
            <c:extLst xmlns:c16r2="http://schemas.microsoft.com/office/drawing/2015/06/chart">
              <c:ext xmlns:c15="http://schemas.microsoft.com/office/drawing/2012/chart" uri="{CE6537A1-D6FC-4f65-9D91-7224C49458BB}"/>
            </c:extLst>
          </c:dLbls>
          <c:cat>
            <c:strRef>
              <c:f>Sheet1!$B$1:$M$1</c:f>
              <c:strCache>
                <c:ptCount val="12"/>
                <c:pt idx="0">
                  <c:v>(3) Справи зі спорів у сфері забезпечення громадського порядку та безпеки, національної безпеки та оборони України</c:v>
                </c:pt>
                <c:pt idx="1">
                  <c:v>(5) Справи зі спорів з приводу реалізації державної політики у сфері економіки</c:v>
                </c:pt>
                <c:pt idx="2">
                  <c:v>(6) Справи зі спорів з приводу сталого розвитку населених пунктів та землекористування</c:v>
                </c:pt>
                <c:pt idx="3">
                  <c:v>(8) Справи зі спорів з приводу адміністрування податків, зборів, платежів, а також контролю за дотриманням вимог податкового законодавства</c:v>
                </c:pt>
                <c:pt idx="4">
                  <c:v>(2) Справи зі спорів з приводу забезпечення реалізації конституційних прав особи, атакож реалізації статусу депутата представницького органу влади, організації діяльності цих органів</c:v>
                </c:pt>
                <c:pt idx="5">
                  <c:v>(4) Справи зі спорів з приводу реалізації державної політики у сфері освіти, науки, культури та спорту</c:v>
                </c:pt>
                <c:pt idx="6">
                  <c:v>(7) Справи зі спорів з приводу охорони навколишнього природного середовища</c:v>
                </c:pt>
                <c:pt idx="7">
                  <c:v>(9) Справи зі спорів з приводу реалізації публічної фінансової політики</c:v>
                </c:pt>
                <c:pt idx="8">
                  <c:v>(10) Справи зі спорів з приводу реалізації публічної політики у сферах зайнятості населення та соціального захисту громадян</c:v>
                </c:pt>
                <c:pt idx="9">
                  <c:v>(11) Справи зі спорів у сфері юстиції</c:v>
                </c:pt>
                <c:pt idx="10">
                  <c:v>(12) Справи зі спорів з відносин публічної служби</c:v>
                </c:pt>
                <c:pt idx="11">
                  <c:v>(2) Справи зі спорів з приводу забезпечення реалізації громадянами права голосу на виборах і референдумах</c:v>
                </c:pt>
              </c:strCache>
            </c:strRef>
          </c:cat>
          <c:val>
            <c:numRef>
              <c:f>Sheet1!$B$4:$M$4</c:f>
              <c:numCache>
                <c:formatCode>General</c:formatCode>
                <c:ptCount val="12"/>
              </c:numCache>
            </c:numRef>
          </c:val>
          <c:extLst xmlns:c16r2="http://schemas.microsoft.com/office/drawing/2015/06/chart">
            <c:ext xmlns:c16="http://schemas.microsoft.com/office/drawing/2014/chart" uri="{C3380CC4-5D6E-409C-BE32-E72D297353CC}">
              <c16:uniqueId val="{00000028-18EC-43D6-BC76-707A6EC8DCA1}"/>
            </c:ext>
          </c:extLst>
        </c:ser>
        <c:dLbls>
          <c:showLegendKey val="1"/>
          <c:showVal val="1"/>
          <c:showPercent val="1"/>
        </c:dLbls>
        <c:firstSliceAng val="0"/>
      </c:pieChart>
      <c:spPr>
        <a:noFill/>
        <a:ln w="25398">
          <a:noFill/>
        </a:ln>
      </c:spPr>
    </c:plotArea>
    <c:legend>
      <c:legendPos val="b"/>
      <c:layout>
        <c:manualLayout>
          <c:xMode val="edge"/>
          <c:yMode val="edge"/>
          <c:x val="0"/>
          <c:y val="0.52030743750614061"/>
          <c:w val="0.99779980214573516"/>
          <c:h val="0.47969256249386011"/>
        </c:manualLayout>
      </c:layout>
      <c:spPr>
        <a:solidFill>
          <a:srgbClr val="FFFFFF"/>
        </a:solidFill>
        <a:ln w="3175">
          <a:solidFill>
            <a:srgbClr val="000000"/>
          </a:solidFill>
          <a:prstDash val="solid"/>
        </a:ln>
      </c:spPr>
      <c:txPr>
        <a:bodyPr/>
        <a:lstStyle/>
        <a:p>
          <a:pPr>
            <a:defRPr lang="uk-UA" sz="920" b="1" i="0" u="none" strike="noStrike" baseline="0">
              <a:solidFill>
                <a:srgbClr val="000000"/>
              </a:solidFill>
              <a:latin typeface="Arial Cyr"/>
              <a:ea typeface="Arial Cyr"/>
              <a:cs typeface="Arial Cyr"/>
            </a:defRPr>
          </a:pPr>
          <a:endParaRPr lang="ru-RU"/>
        </a:p>
      </c:txPr>
    </c:legend>
    <c:plotVisOnly val="1"/>
    <c:dispBlanksAs val="zero"/>
  </c:chart>
  <c:spPr>
    <a:gradFill rotWithShape="0">
      <a:gsLst>
        <a:gs pos="0">
          <a:srgbClr val="FFEFD1"/>
        </a:gs>
        <a:gs pos="64999">
          <a:srgbClr val="F0EBD5"/>
        </a:gs>
        <a:gs pos="100000">
          <a:srgbClr val="D1C39F"/>
        </a:gs>
      </a:gsLst>
      <a:path path="rect">
        <a:fillToRect l="50000" t="50000" r="50000" b="50000"/>
      </a:path>
    </a:gra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rotX val="30"/>
      <c:perspective val="0"/>
    </c:view3D>
    <c:plotArea>
      <c:layout>
        <c:manualLayout>
          <c:layoutTarget val="inner"/>
          <c:xMode val="edge"/>
          <c:yMode val="edge"/>
          <c:x val="8.7962962962963354E-2"/>
          <c:y val="0.16964285714285721"/>
          <c:w val="0.75694444444444786"/>
          <c:h val="0.72420634920634674"/>
        </c:manualLayout>
      </c:layout>
      <c:pie3DChart>
        <c:varyColors val="1"/>
        <c:ser>
          <c:idx val="0"/>
          <c:order val="0"/>
          <c:tx>
            <c:strRef>
              <c:f>Лист1!$B$1</c:f>
              <c:strCache>
                <c:ptCount val="1"/>
                <c:pt idx="0">
                  <c:v>Столбец1</c:v>
                </c:pt>
              </c:strCache>
            </c:strRef>
          </c:tx>
          <c:explosion val="7"/>
          <c:dLbls>
            <c:dLbl>
              <c:idx val="0"/>
              <c:layout>
                <c:manualLayout>
                  <c:x val="-0.15277777777777779"/>
                  <c:y val="-2.7777777777777991E-2"/>
                </c:manualLayout>
              </c:layout>
              <c:spPr/>
              <c:txPr>
                <a:bodyPr/>
                <a:lstStyle/>
                <a:p>
                  <a:pPr>
                    <a:defRPr lang="uk-UA" sz="1039" b="1" i="1">
                      <a:latin typeface="Times New Roman" pitchFamily="18" charset="0"/>
                      <a:cs typeface="Times New Roman" pitchFamily="18" charset="0"/>
                    </a:defRPr>
                  </a:pPr>
                  <a:endParaRPr lang="ru-RU"/>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08-4861-AAA7-5F53AACB326E}"/>
                </c:ext>
              </c:extLst>
            </c:dLbl>
            <c:dLbl>
              <c:idx val="1"/>
              <c:layout>
                <c:manualLayout>
                  <c:x val="-9.2592592592594079E-3"/>
                  <c:y val="-6.746031746031747E-2"/>
                </c:manualLayout>
              </c:layout>
              <c:spPr/>
              <c:txPr>
                <a:bodyPr/>
                <a:lstStyle/>
                <a:p>
                  <a:pPr>
                    <a:defRPr lang="uk-UA" sz="1039" b="1" i="1">
                      <a:latin typeface="Times New Roman" pitchFamily="18" charset="0"/>
                      <a:cs typeface="Times New Roman" pitchFamily="18" charset="0"/>
                    </a:defRPr>
                  </a:pPr>
                  <a:endParaRPr lang="ru-RU"/>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08-4861-AAA7-5F53AACB326E}"/>
                </c:ext>
              </c:extLst>
            </c:dLbl>
            <c:dLbl>
              <c:idx val="2"/>
              <c:layout>
                <c:manualLayout>
                  <c:x val="2.0833333333333412E-2"/>
                  <c:y val="5.158730158730155E-2"/>
                </c:manualLayout>
              </c:layout>
              <c:spPr/>
              <c:txPr>
                <a:bodyPr/>
                <a:lstStyle/>
                <a:p>
                  <a:pPr>
                    <a:defRPr lang="uk-UA" sz="1039" b="1" i="1">
                      <a:latin typeface="Times New Roman" pitchFamily="18" charset="0"/>
                      <a:cs typeface="Times New Roman" pitchFamily="18" charset="0"/>
                    </a:defRPr>
                  </a:pPr>
                  <a:endParaRPr lang="ru-RU"/>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C08-4861-AAA7-5F53AACB326E}"/>
                </c:ext>
              </c:extLst>
            </c:dLbl>
            <c:dLbl>
              <c:idx val="3"/>
              <c:layout>
                <c:manualLayout>
                  <c:x val="3.6376676873724277E-2"/>
                  <c:y val="6.8718285214348543E-2"/>
                </c:manualLayout>
              </c:layout>
              <c:spPr/>
              <c:txPr>
                <a:bodyPr/>
                <a:lstStyle/>
                <a:p>
                  <a:pPr>
                    <a:defRPr lang="uk-UA" sz="1039" b="1" i="1">
                      <a:latin typeface="Times New Roman" pitchFamily="18" charset="0"/>
                      <a:cs typeface="Times New Roman" pitchFamily="18" charset="0"/>
                    </a:defRPr>
                  </a:pPr>
                  <a:endParaRPr lang="ru-RU"/>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C08-4861-AAA7-5F53AACB326E}"/>
                </c:ext>
              </c:extLst>
            </c:dLbl>
            <c:dLbl>
              <c:idx val="4"/>
              <c:layout>
                <c:manualLayout>
                  <c:x val="2.7777777777777991E-2"/>
                  <c:y val="-0.42857174103237194"/>
                </c:manualLayout>
              </c:layout>
              <c:spPr/>
              <c:txPr>
                <a:bodyPr/>
                <a:lstStyle/>
                <a:p>
                  <a:pPr>
                    <a:defRPr lang="uk-UA" sz="1039" b="1" i="1">
                      <a:latin typeface="Times New Roman" pitchFamily="18" charset="0"/>
                      <a:cs typeface="Times New Roman" pitchFamily="18" charset="0"/>
                    </a:defRPr>
                  </a:pPr>
                  <a:endParaRPr lang="ru-RU"/>
                </a:p>
              </c:txPr>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C08-4861-AAA7-5F53AACB326E}"/>
                </c:ext>
              </c:extLst>
            </c:dLbl>
            <c:spPr>
              <a:noFill/>
              <a:ln w="25254">
                <a:noFill/>
              </a:ln>
            </c:spPr>
            <c:txPr>
              <a:bodyPr/>
              <a:lstStyle/>
              <a:p>
                <a:pPr>
                  <a:defRPr lang="uk-UA" sz="1039" b="1" i="1">
                    <a:latin typeface="Times New Roman" pitchFamily="18" charset="0"/>
                    <a:cs typeface="Times New Roman" pitchFamily="18" charset="0"/>
                  </a:defRPr>
                </a:pPr>
                <a:endParaRPr lang="ru-RU"/>
              </a:p>
            </c:txPr>
            <c:dLblPos val="outEnd"/>
            <c:showVal val="1"/>
            <c:showCatName val="1"/>
            <c:showLeaderLines val="1"/>
            <c:extLst xmlns:c16r2="http://schemas.microsoft.com/office/drawing/2015/06/chart">
              <c:ext xmlns:c15="http://schemas.microsoft.com/office/drawing/2012/chart" uri="{CE6537A1-D6FC-4f65-9D91-7224C49458BB}"/>
            </c:extLst>
          </c:dLbls>
          <c:cat>
            <c:strRef>
              <c:f>Лист1!$A$2:$A$6</c:f>
              <c:strCache>
                <c:ptCount val="5"/>
                <c:pt idx="0">
                  <c:v>про повернення позовної заяви</c:v>
                </c:pt>
                <c:pt idx="1">
                  <c:v>про відмову увідкритті провадження у справі</c:v>
                </c:pt>
                <c:pt idx="2">
                  <c:v>про закриття провадження у справі</c:v>
                </c:pt>
                <c:pt idx="3">
                  <c:v>про залишення заяви без розгляду</c:v>
                </c:pt>
                <c:pt idx="4">
                  <c:v>інші</c:v>
                </c:pt>
              </c:strCache>
            </c:strRef>
          </c:cat>
          <c:val>
            <c:numRef>
              <c:f>Лист1!$B$2:$B$6</c:f>
              <c:numCache>
                <c:formatCode>General</c:formatCode>
                <c:ptCount val="5"/>
                <c:pt idx="0">
                  <c:v>108</c:v>
                </c:pt>
                <c:pt idx="1">
                  <c:v>59</c:v>
                </c:pt>
                <c:pt idx="2">
                  <c:v>77</c:v>
                </c:pt>
                <c:pt idx="3">
                  <c:v>204</c:v>
                </c:pt>
                <c:pt idx="4">
                  <c:v>331</c:v>
                </c:pt>
              </c:numCache>
            </c:numRef>
          </c:val>
          <c:extLst xmlns:c16r2="http://schemas.microsoft.com/office/drawing/2015/06/chart">
            <c:ext xmlns:c16="http://schemas.microsoft.com/office/drawing/2014/chart" uri="{C3380CC4-5D6E-409C-BE32-E72D297353CC}">
              <c16:uniqueId val="{00000005-8C08-4861-AAA7-5F53AACB326E}"/>
            </c:ext>
          </c:extLst>
        </c:ser>
      </c:pie3DChart>
      <c:spPr>
        <a:noFill/>
        <a:ln w="25386">
          <a:noFill/>
        </a:ln>
      </c:spPr>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Переглянуті</c:v>
                </c:pt>
              </c:strCache>
            </c:strRef>
          </c:tx>
          <c:spPr>
            <a:solidFill>
              <a:srgbClr val="5B9BD5"/>
            </a:solidFill>
            <a:ln w="25360">
              <a:noFill/>
            </a:ln>
          </c:spPr>
          <c:dLbls>
            <c:spPr>
              <a:noFill/>
              <a:ln w="25360">
                <a:noFill/>
              </a:ln>
            </c:spPr>
            <c:txPr>
              <a:bodyPr rot="0" spcFirstLastPara="1" vertOverflow="ellipsis" vert="horz" wrap="square" lIns="38100" tIns="19050" rIns="38100" bIns="19050" anchor="ctr" anchorCtr="1">
                <a:spAutoFit/>
              </a:bodyPr>
              <a:lstStyle/>
              <a:p>
                <a:pPr>
                  <a:defRPr lang="uk-UA" sz="897" b="0" i="0" u="none" strike="noStrike" kern="1200" baseline="0">
                    <a:solidFill>
                      <a:schemeClr val="tx1">
                        <a:lumMod val="75000"/>
                        <a:lumOff val="25000"/>
                      </a:schemeClr>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про повернення позовної заяви </c:v>
                </c:pt>
                <c:pt idx="1">
                  <c:v>про відмову у відкритті провадження</c:v>
                </c:pt>
                <c:pt idx="2">
                  <c:v>про закриття провадження у справі</c:v>
                </c:pt>
                <c:pt idx="3">
                  <c:v>про залишення заяви без розгляду</c:v>
                </c:pt>
                <c:pt idx="4">
                  <c:v>інші</c:v>
                </c:pt>
              </c:strCache>
            </c:strRef>
          </c:cat>
          <c:val>
            <c:numRef>
              <c:f>Лист1!$B$2:$B$6</c:f>
              <c:numCache>
                <c:formatCode>General</c:formatCode>
                <c:ptCount val="5"/>
                <c:pt idx="0">
                  <c:v>108</c:v>
                </c:pt>
                <c:pt idx="1">
                  <c:v>59</c:v>
                </c:pt>
                <c:pt idx="2">
                  <c:v>77</c:v>
                </c:pt>
                <c:pt idx="3">
                  <c:v>204</c:v>
                </c:pt>
                <c:pt idx="4">
                  <c:v>331</c:v>
                </c:pt>
              </c:numCache>
            </c:numRef>
          </c:val>
          <c:extLst xmlns:c16r2="http://schemas.microsoft.com/office/drawing/2015/06/chart">
            <c:ext xmlns:c16="http://schemas.microsoft.com/office/drawing/2014/chart" uri="{C3380CC4-5D6E-409C-BE32-E72D297353CC}">
              <c16:uniqueId val="{00000000-1E21-4ED0-B328-F88E95B0C3D6}"/>
            </c:ext>
          </c:extLst>
        </c:ser>
        <c:ser>
          <c:idx val="1"/>
          <c:order val="1"/>
          <c:tx>
            <c:strRef>
              <c:f>Лист1!$C$1</c:f>
              <c:strCache>
                <c:ptCount val="1"/>
                <c:pt idx="0">
                  <c:v>Скасовані</c:v>
                </c:pt>
              </c:strCache>
            </c:strRef>
          </c:tx>
          <c:spPr>
            <a:solidFill>
              <a:srgbClr val="ED7D31"/>
            </a:solidFill>
            <a:ln w="25360">
              <a:noFill/>
            </a:ln>
          </c:spPr>
          <c:dLbls>
            <c:spPr>
              <a:noFill/>
              <a:ln w="25360">
                <a:noFill/>
              </a:ln>
            </c:spPr>
            <c:txPr>
              <a:bodyPr rot="0" spcFirstLastPara="1" vertOverflow="ellipsis" vert="horz" wrap="square" lIns="38100" tIns="19050" rIns="38100" bIns="19050" anchor="ctr" anchorCtr="1">
                <a:spAutoFit/>
              </a:bodyPr>
              <a:lstStyle/>
              <a:p>
                <a:pPr>
                  <a:defRPr lang="uk-UA" sz="897" b="0" i="0" u="none" strike="noStrike" kern="1200" baseline="0">
                    <a:solidFill>
                      <a:schemeClr val="tx1">
                        <a:lumMod val="75000"/>
                        <a:lumOff val="25000"/>
                      </a:schemeClr>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про повернення позовної заяви </c:v>
                </c:pt>
                <c:pt idx="1">
                  <c:v>про відмову у відкритті провадження</c:v>
                </c:pt>
                <c:pt idx="2">
                  <c:v>про закриття провадження у справі</c:v>
                </c:pt>
                <c:pt idx="3">
                  <c:v>про залишення заяви без розгляду</c:v>
                </c:pt>
                <c:pt idx="4">
                  <c:v>інші</c:v>
                </c:pt>
              </c:strCache>
            </c:strRef>
          </c:cat>
          <c:val>
            <c:numRef>
              <c:f>Лист1!$C$2:$C$6</c:f>
              <c:numCache>
                <c:formatCode>General</c:formatCode>
                <c:ptCount val="5"/>
                <c:pt idx="0">
                  <c:v>82</c:v>
                </c:pt>
                <c:pt idx="1">
                  <c:v>27</c:v>
                </c:pt>
                <c:pt idx="2">
                  <c:v>33</c:v>
                </c:pt>
                <c:pt idx="3">
                  <c:v>119</c:v>
                </c:pt>
                <c:pt idx="4">
                  <c:v>103</c:v>
                </c:pt>
              </c:numCache>
            </c:numRef>
          </c:val>
          <c:extLst xmlns:c16r2="http://schemas.microsoft.com/office/drawing/2015/06/chart">
            <c:ext xmlns:c16="http://schemas.microsoft.com/office/drawing/2014/chart" uri="{C3380CC4-5D6E-409C-BE32-E72D297353CC}">
              <c16:uniqueId val="{00000001-1E21-4ED0-B328-F88E95B0C3D6}"/>
            </c:ext>
          </c:extLst>
        </c:ser>
        <c:gapWidth val="219"/>
        <c:overlap val="-27"/>
        <c:axId val="125974400"/>
        <c:axId val="125975936"/>
      </c:barChart>
      <c:catAx>
        <c:axId val="125974400"/>
        <c:scaling>
          <c:orientation val="minMax"/>
        </c:scaling>
        <c:axPos val="b"/>
        <c:numFmt formatCode="General" sourceLinked="1"/>
        <c:majorTickMark val="none"/>
        <c:tickLblPos val="nextTo"/>
        <c:spPr>
          <a:noFill/>
          <a:ln w="9498" cap="flat" cmpd="sng" algn="ctr">
            <a:solidFill>
              <a:schemeClr val="tx1">
                <a:lumMod val="15000"/>
                <a:lumOff val="85000"/>
              </a:schemeClr>
            </a:solidFill>
            <a:round/>
          </a:ln>
          <a:effectLst/>
        </c:spPr>
        <c:txPr>
          <a:bodyPr rot="0" spcFirstLastPara="1" vertOverflow="ellipsis" wrap="square" anchor="ctr" anchorCtr="1"/>
          <a:lstStyle/>
          <a:p>
            <a:pPr>
              <a:defRPr lang="uk-UA" sz="897" b="0" i="0" u="none" strike="noStrike" kern="1200" baseline="0">
                <a:solidFill>
                  <a:schemeClr val="tx1">
                    <a:lumMod val="65000"/>
                    <a:lumOff val="35000"/>
                  </a:schemeClr>
                </a:solidFill>
                <a:latin typeface="+mn-lt"/>
                <a:ea typeface="+mn-ea"/>
                <a:cs typeface="+mn-cs"/>
              </a:defRPr>
            </a:pPr>
            <a:endParaRPr lang="ru-RU"/>
          </a:p>
        </c:txPr>
        <c:crossAx val="125975936"/>
        <c:crosses val="autoZero"/>
        <c:auto val="1"/>
        <c:lblAlgn val="ctr"/>
        <c:lblOffset val="100"/>
      </c:catAx>
      <c:valAx>
        <c:axId val="125975936"/>
        <c:scaling>
          <c:orientation val="minMax"/>
        </c:scaling>
        <c:axPos val="l"/>
        <c:majorGridlines>
          <c:spPr>
            <a:ln w="9498" cap="flat" cmpd="sng" algn="ctr">
              <a:solidFill>
                <a:schemeClr val="tx1">
                  <a:lumMod val="15000"/>
                  <a:lumOff val="85000"/>
                </a:schemeClr>
              </a:solidFill>
              <a:round/>
            </a:ln>
            <a:effectLst/>
          </c:spPr>
        </c:majorGridlines>
        <c:numFmt formatCode="General" sourceLinked="1"/>
        <c:majorTickMark val="none"/>
        <c:tickLblPos val="nextTo"/>
        <c:spPr>
          <a:ln w="6341">
            <a:noFill/>
          </a:ln>
        </c:spPr>
        <c:txPr>
          <a:bodyPr rot="-60000000" spcFirstLastPara="1" vertOverflow="ellipsis" vert="horz" wrap="square" anchor="ctr" anchorCtr="1"/>
          <a:lstStyle/>
          <a:p>
            <a:pPr>
              <a:defRPr lang="uk-UA" sz="897" b="0" i="0" u="none" strike="noStrike" kern="1200" baseline="0">
                <a:solidFill>
                  <a:schemeClr val="tx1">
                    <a:lumMod val="65000"/>
                    <a:lumOff val="35000"/>
                  </a:schemeClr>
                </a:solidFill>
                <a:latin typeface="+mn-lt"/>
                <a:ea typeface="+mn-ea"/>
                <a:cs typeface="+mn-cs"/>
              </a:defRPr>
            </a:pPr>
            <a:endParaRPr lang="ru-RU"/>
          </a:p>
        </c:txPr>
        <c:crossAx val="125974400"/>
        <c:crosses val="autoZero"/>
        <c:crossBetween val="between"/>
      </c:valAx>
      <c:spPr>
        <a:noFill/>
        <a:ln w="25382">
          <a:noFill/>
        </a:ln>
      </c:spPr>
    </c:plotArea>
    <c:legend>
      <c:legendPos val="b"/>
      <c:spPr>
        <a:noFill/>
        <a:ln w="25360">
          <a:noFill/>
        </a:ln>
      </c:spPr>
      <c:txPr>
        <a:bodyPr rot="0" spcFirstLastPara="1" vertOverflow="ellipsis" vert="horz" wrap="square" anchor="ctr" anchorCtr="1"/>
        <a:lstStyle/>
        <a:p>
          <a:pPr>
            <a:defRPr lang="uk-UA" sz="897"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498" cap="flat" cmpd="sng" algn="ctr">
      <a:solidFill>
        <a:schemeClr val="tx1">
          <a:lumMod val="15000"/>
          <a:lumOff val="85000"/>
        </a:schemeClr>
      </a:solidFill>
      <a:round/>
    </a:ln>
    <a:effectLst/>
  </c:spPr>
  <c:txPr>
    <a:bodyPr/>
    <a:lstStyle/>
    <a:p>
      <a:pP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0.78054</cdr:x>
      <cdr:y>0.47195</cdr:y>
    </cdr:from>
    <cdr:to>
      <cdr:x>0.97003</cdr:x>
      <cdr:y>0.66667</cdr:y>
    </cdr:to>
    <cdr:sp macro="" textlink="">
      <cdr:nvSpPr>
        <cdr:cNvPr id="3" name="Стрелка вправо 2"/>
        <cdr:cNvSpPr/>
      </cdr:nvSpPr>
      <cdr:spPr>
        <a:xfrm xmlns:a="http://schemas.openxmlformats.org/drawingml/2006/main">
          <a:off x="2728514" y="1335111"/>
          <a:ext cx="662386" cy="550848"/>
        </a:xfrm>
        <a:prstGeom xmlns:a="http://schemas.openxmlformats.org/drawingml/2006/main" prst="rightArrow">
          <a:avLst/>
        </a:prstGeom>
        <a:solidFill xmlns:a="http://schemas.openxmlformats.org/drawingml/2006/main">
          <a:schemeClr val="accent3">
            <a:lumMod val="40000"/>
            <a:lumOff val="60000"/>
          </a:schemeClr>
        </a:solidFill>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800"/>
            <a:t>з них</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D3902-6899-4A06-B6E2-CD62517F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7407</Words>
  <Characters>42221</Characters>
  <Application>Microsoft Office Word</Application>
  <DocSecurity>0</DocSecurity>
  <Lines>351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Vlad_2</dc:creator>
  <cp:lastModifiedBy>Администратор</cp:lastModifiedBy>
  <cp:revision>2</cp:revision>
  <cp:lastPrinted>2019-02-12T14:50:00Z</cp:lastPrinted>
  <dcterms:created xsi:type="dcterms:W3CDTF">2019-06-05T12:43:00Z</dcterms:created>
  <dcterms:modified xsi:type="dcterms:W3CDTF">2019-06-05T12:43:00Z</dcterms:modified>
</cp:coreProperties>
</file>